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51DD7" w14:textId="6328961C" w:rsidR="0004219E" w:rsidRPr="00634641" w:rsidRDefault="0004219E" w:rsidP="0004219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34641">
        <w:rPr>
          <w:rFonts w:ascii="Times New Roman" w:hAnsi="Times New Roman" w:cs="Times New Roman"/>
          <w:b/>
          <w:bCs/>
          <w:sz w:val="24"/>
          <w:szCs w:val="24"/>
        </w:rPr>
        <w:t xml:space="preserve">Supplementary Online Material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634641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Supplemental Figures</w:t>
      </w:r>
    </w:p>
    <w:p w14:paraId="4B9D54E5" w14:textId="77777777" w:rsidR="0004219E" w:rsidRDefault="0004219E" w:rsidP="0004219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</w:t>
      </w:r>
    </w:p>
    <w:p w14:paraId="6DCEACC8" w14:textId="77777777" w:rsidR="0004219E" w:rsidRDefault="0004219E" w:rsidP="0004219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Coblentz, K.E., A. Squires, S. Uiterwaal, and J.P. DeLong. Quantifying predator functional responses under field conditions reveals interactive effects of temperature and interference with sex and stage. </w:t>
      </w:r>
      <w:r>
        <w:rPr>
          <w:rFonts w:ascii="Times New Roman" w:hAnsi="Times New Roman" w:cs="Times New Roman"/>
          <w:i/>
          <w:iCs/>
          <w:sz w:val="24"/>
          <w:szCs w:val="24"/>
        </w:rPr>
        <w:t>Journal of Animal Ecology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C1B51D9" w14:textId="4DEB1E39" w:rsidR="00B4019D" w:rsidRDefault="00B4019D"/>
    <w:p w14:paraId="4FF34DB1" w14:textId="298A7A80" w:rsidR="008A7753" w:rsidRDefault="00E07E75" w:rsidP="008A7753">
      <w:pPr>
        <w:jc w:val="center"/>
      </w:pPr>
      <w:r>
        <w:rPr>
          <w:noProof/>
        </w:rPr>
        <w:drawing>
          <wp:inline distT="0" distB="0" distL="0" distR="0" wp14:anchorId="33946040" wp14:editId="0CAB7A96">
            <wp:extent cx="5486411" cy="3392431"/>
            <wp:effectExtent l="0" t="0" r="0" b="0"/>
            <wp:docPr id="2" name="Picture 2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box and whisker chart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11" cy="3392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8A53B5" w14:textId="1FE0E657" w:rsidR="00E07E75" w:rsidRPr="00E07E75" w:rsidRDefault="00E07E75" w:rsidP="00E07E7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Figure S1.1. </w:t>
      </w:r>
      <w:r>
        <w:rPr>
          <w:rFonts w:ascii="Times New Roman" w:hAnsi="Times New Roman" w:cs="Times New Roman"/>
        </w:rPr>
        <w:t>Female and juvenile zebra jumping spiders h</w:t>
      </w:r>
      <w:r w:rsidR="00F77AE5">
        <w:rPr>
          <w:rFonts w:ascii="Times New Roman" w:hAnsi="Times New Roman" w:cs="Times New Roman"/>
        </w:rPr>
        <w:t>ad similar proportions of missing photographs while males had a higher proportion of missing photographs</w:t>
      </w:r>
      <w:r w:rsidR="00C65AAA">
        <w:rPr>
          <w:rFonts w:ascii="Times New Roman" w:hAnsi="Times New Roman" w:cs="Times New Roman"/>
        </w:rPr>
        <w:t xml:space="preserve"> (the points represent the observed proportion of missing photographs across the experiment and the bars give two times the standard errors of the proportions)</w:t>
      </w:r>
      <w:r w:rsidR="00F77AE5">
        <w:rPr>
          <w:rFonts w:ascii="Times New Roman" w:hAnsi="Times New Roman" w:cs="Times New Roman"/>
        </w:rPr>
        <w:t>. As females are the largest sex/stage, followed by males, and then juveniles</w:t>
      </w:r>
      <w:r w:rsidR="00A312CC">
        <w:rPr>
          <w:rFonts w:ascii="Times New Roman" w:hAnsi="Times New Roman" w:cs="Times New Roman"/>
        </w:rPr>
        <w:t>, we conclude that missing photographs were not the result of size differences, but males may exhibit a different behavioral response that led to a greater proportion of missing photographs.</w:t>
      </w:r>
    </w:p>
    <w:sectPr w:rsidR="00E07E75" w:rsidRPr="00E07E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19E"/>
    <w:rsid w:val="0004219E"/>
    <w:rsid w:val="008A7753"/>
    <w:rsid w:val="00A312CC"/>
    <w:rsid w:val="00B4019D"/>
    <w:rsid w:val="00C65AAA"/>
    <w:rsid w:val="00E07E75"/>
    <w:rsid w:val="00F7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1CDCE8"/>
  <w15:chartTrackingRefBased/>
  <w15:docId w15:val="{026EF62A-93B2-490C-B569-397D673BB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1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 Coblentz</dc:creator>
  <cp:keywords/>
  <dc:description/>
  <cp:lastModifiedBy>Kyle Coblentz</cp:lastModifiedBy>
  <cp:revision>3</cp:revision>
  <dcterms:created xsi:type="dcterms:W3CDTF">2022-03-16T19:46:00Z</dcterms:created>
  <dcterms:modified xsi:type="dcterms:W3CDTF">2022-03-23T16:32:00Z</dcterms:modified>
</cp:coreProperties>
</file>