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040256" w14:textId="00CF41FE" w:rsidR="00C9256D" w:rsidRPr="00565B11" w:rsidRDefault="00C9256D" w:rsidP="00C9256D">
      <w:pPr>
        <w:ind w:firstLine="0"/>
        <w:jc w:val="center"/>
        <w:rPr>
          <w:b/>
          <w:bCs/>
          <w:sz w:val="34"/>
          <w:szCs w:val="34"/>
        </w:rPr>
      </w:pPr>
      <w:bookmarkStart w:id="0" w:name="_GoBack"/>
      <w:bookmarkEnd w:id="0"/>
      <w:r w:rsidRPr="00565B11">
        <w:rPr>
          <w:b/>
          <w:bCs/>
          <w:sz w:val="34"/>
          <w:szCs w:val="34"/>
        </w:rPr>
        <w:t xml:space="preserve">Opposing community assembly patterns for dominant and </w:t>
      </w:r>
      <w:r w:rsidR="00565B11">
        <w:rPr>
          <w:b/>
          <w:bCs/>
          <w:sz w:val="34"/>
          <w:szCs w:val="34"/>
        </w:rPr>
        <w:br/>
      </w:r>
      <w:r w:rsidRPr="00565B11">
        <w:rPr>
          <w:b/>
          <w:bCs/>
          <w:sz w:val="34"/>
          <w:szCs w:val="34"/>
        </w:rPr>
        <w:t>non-dominant plant species in herbaceous ecosystems globally</w:t>
      </w:r>
    </w:p>
    <w:p w14:paraId="3AFE83F5" w14:textId="27263BC2" w:rsidR="00565B11" w:rsidRPr="00565B11" w:rsidRDefault="00565B11" w:rsidP="00565B11">
      <w:pPr>
        <w:ind w:firstLine="0"/>
        <w:jc w:val="center"/>
        <w:rPr>
          <w:sz w:val="28"/>
          <w:szCs w:val="24"/>
        </w:rPr>
      </w:pPr>
      <w:r w:rsidRPr="00565B11">
        <w:rPr>
          <w:b/>
          <w:sz w:val="28"/>
          <w:szCs w:val="24"/>
        </w:rPr>
        <w:t>Supplementary information: Extended analyses</w:t>
      </w:r>
    </w:p>
    <w:p w14:paraId="1394AED6" w14:textId="47DCDA03" w:rsidR="00C9256D" w:rsidRDefault="00C9256D" w:rsidP="00C9256D">
      <w:pPr>
        <w:ind w:firstLine="0"/>
        <w:jc w:val="center"/>
      </w:pPr>
      <w:r>
        <w:t>Arnillas, C.A.</w:t>
      </w:r>
      <w:r w:rsidR="00934C7A">
        <w:rPr>
          <w:rStyle w:val="FootnoteReference"/>
        </w:rPr>
        <w:footnoteReference w:id="1"/>
      </w:r>
      <w:r>
        <w:t xml:space="preserve">, Borer, E.T., </w:t>
      </w:r>
      <w:proofErr w:type="spellStart"/>
      <w:r>
        <w:t>Seabloom</w:t>
      </w:r>
      <w:proofErr w:type="spellEnd"/>
      <w:r>
        <w:t xml:space="preserve">, E.W., </w:t>
      </w:r>
      <w:proofErr w:type="spellStart"/>
      <w:r>
        <w:t>Alberti</w:t>
      </w:r>
      <w:proofErr w:type="spellEnd"/>
      <w:r>
        <w:t xml:space="preserve">, J., Baez, S., Bakker, J.D., Boughton, E.H., Buckley, Y.M., </w:t>
      </w:r>
      <w:proofErr w:type="spellStart"/>
      <w:r>
        <w:t>Bugalho</w:t>
      </w:r>
      <w:proofErr w:type="spellEnd"/>
      <w:r>
        <w:t xml:space="preserve">, M.N., Donohue, I., Dwyer, J., </w:t>
      </w:r>
      <w:proofErr w:type="spellStart"/>
      <w:r>
        <w:t>Firn</w:t>
      </w:r>
      <w:proofErr w:type="spellEnd"/>
      <w:r>
        <w:t xml:space="preserve">, J., </w:t>
      </w:r>
      <w:proofErr w:type="spellStart"/>
      <w:r>
        <w:t>Gridzak</w:t>
      </w:r>
      <w:proofErr w:type="spellEnd"/>
      <w:r>
        <w:t xml:space="preserve">, R., Hagenah, N., </w:t>
      </w:r>
      <w:proofErr w:type="spellStart"/>
      <w:r>
        <w:t>Hautier</w:t>
      </w:r>
      <w:proofErr w:type="spellEnd"/>
      <w:r>
        <w:t xml:space="preserve">, Y., Helm, A., Jentsch, A., Knops, J.M.H., </w:t>
      </w:r>
      <w:r w:rsidR="00AF1FD5">
        <w:t>Komatsu</w:t>
      </w:r>
      <w:r>
        <w:t xml:space="preserve">, K., </w:t>
      </w:r>
      <w:proofErr w:type="spellStart"/>
      <w:r>
        <w:t>Laanisto</w:t>
      </w:r>
      <w:proofErr w:type="spellEnd"/>
      <w:r>
        <w:t xml:space="preserve">, L., </w:t>
      </w:r>
      <w:proofErr w:type="spellStart"/>
      <w:r>
        <w:t>Laungani</w:t>
      </w:r>
      <w:proofErr w:type="spellEnd"/>
      <w:r>
        <w:t xml:space="preserve">, R., McCulley, R., Moore, J.L., Morgan, J.W., Peri, P.L., Power, S.A., Price, J., Sankaran, M., </w:t>
      </w:r>
      <w:proofErr w:type="spellStart"/>
      <w:r>
        <w:t>Schamp</w:t>
      </w:r>
      <w:proofErr w:type="spellEnd"/>
      <w:r>
        <w:t xml:space="preserve">, B., </w:t>
      </w:r>
      <w:proofErr w:type="spellStart"/>
      <w:r>
        <w:t>Speziale</w:t>
      </w:r>
      <w:proofErr w:type="spellEnd"/>
      <w:r>
        <w:t xml:space="preserve">, K., Standish, R., Virtanen, R. &amp; </w:t>
      </w:r>
      <w:proofErr w:type="spellStart"/>
      <w:r>
        <w:t>Cadotte</w:t>
      </w:r>
      <w:proofErr w:type="spellEnd"/>
      <w:r>
        <w:t>, M.W.</w:t>
      </w:r>
    </w:p>
    <w:p w14:paraId="6142DEB9" w14:textId="2D0BA2D4" w:rsidR="00A9091D" w:rsidRDefault="00565B11" w:rsidP="00A9091D">
      <w:pPr>
        <w:ind w:firstLine="0"/>
        <w:jc w:val="center"/>
      </w:pPr>
      <w:r w:rsidRPr="00565B11">
        <w:rPr>
          <w:i/>
          <w:iCs/>
        </w:rPr>
        <w:t>Ecology and Evolution 2021</w:t>
      </w:r>
      <w:r>
        <w:t xml:space="preserve"> </w:t>
      </w:r>
      <w:r w:rsidR="00A9091D">
        <w:t xml:space="preserve">DOI: </w:t>
      </w:r>
      <w:hyperlink r:id="rId7" w:history="1">
        <w:r w:rsidR="00A9091D" w:rsidRPr="00E52995">
          <w:rPr>
            <w:rStyle w:val="Hyperlink"/>
          </w:rPr>
          <w:t>https://doi.org/10.1002/ece3.8266</w:t>
        </w:r>
      </w:hyperlink>
    </w:p>
    <w:p w14:paraId="7CDE0EEF" w14:textId="77777777" w:rsidR="00C9256D" w:rsidRPr="00C9256D" w:rsidRDefault="00C9256D" w:rsidP="00565B11">
      <w:pPr>
        <w:ind w:firstLine="0"/>
        <w:rPr>
          <w:b/>
        </w:rPr>
      </w:pPr>
    </w:p>
    <w:p w14:paraId="1AC1567A" w14:textId="19A888C6" w:rsidR="00C9256D" w:rsidRDefault="00C9256D" w:rsidP="00C9256D">
      <w:pPr>
        <w:pStyle w:val="Heading1"/>
      </w:pPr>
      <w:r>
        <w:t>Alternative definitions of disparity in phylogenetic dispersion</w:t>
      </w:r>
    </w:p>
    <w:p w14:paraId="061F5141" w14:textId="77777777" w:rsidR="00C9256D" w:rsidRDefault="00C9256D" w:rsidP="00C9256D">
      <w:r>
        <w:rPr>
          <w:color w:val="auto"/>
        </w:rPr>
        <w:t>We used five d</w:t>
      </w:r>
      <w:r>
        <w:t>ifferent ways to estimate the difference on phylogenetic dispersion between dominants and non-dominants using mean-nearest taxonomic distance (MNTD). Here we describe the different ways we did the partitions and the analysis done to compare them. Because the partitions would be composed of different number of species, we estimated the standardized effect size of MNTD (SES.MNTD) for each of the partitions (</w:t>
      </w:r>
      <w:r>
        <w:rPr>
          <w:rFonts w:ascii="Symbol" w:eastAsia="Symbol" w:hAnsi="Symbol" w:cs="Symbol"/>
        </w:rPr>
        <w:t></w:t>
      </w:r>
      <w:r>
        <w:rPr>
          <w:vertAlign w:val="subscript"/>
        </w:rPr>
        <w:t>SES.MNTD</w:t>
      </w:r>
      <w:r>
        <w:t xml:space="preserve">) in each site. In every case, we pruned the phylogenetic tree to the species present in each site before running the analysis. In that way, the standardized effect sizes for any dominance partition used the same species pool that only includes the species observed in that site at the beginning of the experiment, before nutrients </w:t>
      </w:r>
      <w:proofErr w:type="gramStart"/>
      <w:r>
        <w:t>were added</w:t>
      </w:r>
      <w:proofErr w:type="gramEnd"/>
      <w:r>
        <w:t xml:space="preserve"> to the site. Given that the SES estimates included only the species present, the </w:t>
      </w:r>
      <w:r>
        <w:rPr>
          <w:rFonts w:ascii="Symbol" w:eastAsia="Symbol" w:hAnsi="Symbol" w:cs="Symbol"/>
        </w:rPr>
        <w:t></w:t>
      </w:r>
      <w:r>
        <w:rPr>
          <w:vertAlign w:val="subscript"/>
        </w:rPr>
        <w:t>SES.MNTD</w:t>
      </w:r>
      <w:r>
        <w:t xml:space="preserve"> is </w:t>
      </w:r>
      <w:r>
        <w:lastRenderedPageBreak/>
        <w:t>a measure of the difference in how dominant and non-dominant plants’ performance correlate with the environment.</w:t>
      </w:r>
    </w:p>
    <w:p w14:paraId="7A7CD04D" w14:textId="7193D8F0" w:rsidR="00C9256D" w:rsidRDefault="00C9256D" w:rsidP="00C9256D">
      <w:pPr>
        <w:pStyle w:val="Heading2"/>
      </w:pPr>
      <w:r>
        <w:t>Partition methods</w:t>
      </w:r>
    </w:p>
    <w:p w14:paraId="215001D3" w14:textId="4FF65431" w:rsidR="00C9256D" w:rsidRPr="00DE418C" w:rsidRDefault="00C9256D" w:rsidP="00C9256D">
      <w:pPr>
        <w:pStyle w:val="Heading3"/>
        <w:rPr>
          <w:b/>
          <w:bCs/>
          <w:i w:val="0"/>
          <w:iCs w:val="0"/>
          <w:szCs w:val="24"/>
        </w:rPr>
      </w:pPr>
      <w:bookmarkStart w:id="1" w:name="_Ref378677489"/>
      <w:r w:rsidRPr="00DE418C">
        <w:rPr>
          <w:szCs w:val="24"/>
        </w:rPr>
        <w:t>Partitions with similar number of species</w:t>
      </w:r>
      <w:bookmarkEnd w:id="1"/>
    </w:p>
    <w:p w14:paraId="1562CC34" w14:textId="5E500471" w:rsidR="00C9256D" w:rsidRDefault="00C9256D" w:rsidP="00C9256D">
      <w:r>
        <w:t xml:space="preserve">This method assumed that each partition is composed of a similar number of species. The partition with the most dominant species will be composed of the highest-ranking species. The next partition will be composed by the next higher-ranking species, etc. We define partitions for two and three groups of dominance. </w:t>
      </w:r>
      <w:r>
        <w:rPr>
          <w:rFonts w:ascii="Symbol" w:eastAsia="Symbol" w:hAnsi="Symbol" w:cs="Symbol"/>
        </w:rPr>
        <w:t></w:t>
      </w:r>
      <w:proofErr w:type="spellStart"/>
      <w:r>
        <w:rPr>
          <w:vertAlign w:val="subscript"/>
        </w:rPr>
        <w:t>ses</w:t>
      </w:r>
      <w:proofErr w:type="spellEnd"/>
      <w:r>
        <w:t xml:space="preserve"> was then the difference in the phylogenetic dispersion metric between the highest ranking minus the lowest ranking partition. Each site phylogenetic dispersion trend was then classified as either “D</w:t>
      </w:r>
      <w:r>
        <w:rPr>
          <w:vertAlign w:val="subscript"/>
        </w:rPr>
        <w:t>SES</w:t>
      </w:r>
      <w:r>
        <w:t xml:space="preserve"> &lt; ND</w:t>
      </w:r>
      <w:r>
        <w:rPr>
          <w:vertAlign w:val="subscript"/>
        </w:rPr>
        <w:t>SES</w:t>
      </w:r>
      <w:r>
        <w:t>”, “D</w:t>
      </w:r>
      <w:r>
        <w:rPr>
          <w:vertAlign w:val="subscript"/>
        </w:rPr>
        <w:t>SES</w:t>
      </w:r>
      <w:r>
        <w:t xml:space="preserve"> &gt; ND</w:t>
      </w:r>
      <w:r>
        <w:rPr>
          <w:vertAlign w:val="subscript"/>
        </w:rPr>
        <w:t>SES</w:t>
      </w:r>
      <w:r>
        <w:t xml:space="preserve">” or “NONE” if </w:t>
      </w:r>
      <w:r>
        <w:rPr>
          <w:rFonts w:ascii="Symbol" w:eastAsia="Symbol" w:hAnsi="Symbol" w:cs="Symbol"/>
        </w:rPr>
        <w:t></w:t>
      </w:r>
      <w:proofErr w:type="spellStart"/>
      <w:r>
        <w:rPr>
          <w:vertAlign w:val="subscript"/>
        </w:rPr>
        <w:t>ses</w:t>
      </w:r>
      <w:proofErr w:type="spellEnd"/>
      <w:r>
        <w:t xml:space="preserve"> was significantly less, more or equal to </w:t>
      </w:r>
      <w:proofErr w:type="gramStart"/>
      <w:r>
        <w:t>0</w:t>
      </w:r>
      <w:proofErr w:type="gramEnd"/>
      <w:r>
        <w:t>, respectively.</w:t>
      </w:r>
    </w:p>
    <w:p w14:paraId="0A40A47C" w14:textId="3808AFF2" w:rsidR="00C9256D" w:rsidRPr="00DE418C" w:rsidRDefault="00C9256D" w:rsidP="00C9256D">
      <w:pPr>
        <w:pStyle w:val="Heading3"/>
        <w:rPr>
          <w:b/>
          <w:bCs/>
          <w:i w:val="0"/>
          <w:iCs w:val="0"/>
          <w:szCs w:val="24"/>
        </w:rPr>
      </w:pPr>
      <w:r w:rsidRPr="00DE418C">
        <w:rPr>
          <w:szCs w:val="24"/>
        </w:rPr>
        <w:t>Partitioning by Jenks criteria</w:t>
      </w:r>
    </w:p>
    <w:p w14:paraId="6CF2E85C" w14:textId="77777777" w:rsidR="00C9256D" w:rsidRDefault="00C9256D" w:rsidP="00C9256D">
      <w:r>
        <w:t xml:space="preserve">We used Jenks’ natural break optimization to find two classes of species, dominant and non-dominant, in each site. Each class composed of species with similar abundance. The optimization algorithm cuts the community using an abundance criterion, minimizing the variability inside each class and maximizing the variability between the classes. The class with the largest abundance values corresponded to the dominant species. </w:t>
      </w:r>
      <w:r>
        <w:rPr>
          <w:rFonts w:ascii="Symbol" w:eastAsia="Symbol" w:hAnsi="Symbol" w:cs="Symbol"/>
        </w:rPr>
        <w:t></w:t>
      </w:r>
      <w:proofErr w:type="spellStart"/>
      <w:r>
        <w:rPr>
          <w:vertAlign w:val="subscript"/>
        </w:rPr>
        <w:t>ses</w:t>
      </w:r>
      <w:proofErr w:type="spellEnd"/>
      <w:r>
        <w:t xml:space="preserve"> and the site phylogenetic dispersion trend was then estimated as when partitioning in groups with same number of species. The underlying assumption of this method is that a variance criterion can effectively distinguish biologically meaningful processes.</w:t>
      </w:r>
    </w:p>
    <w:p w14:paraId="3DC8FDEB" w14:textId="4052B014" w:rsidR="00C9256D" w:rsidRPr="00DE418C" w:rsidRDefault="00C9256D" w:rsidP="00C9256D">
      <w:pPr>
        <w:pStyle w:val="Heading3"/>
        <w:rPr>
          <w:b/>
          <w:bCs/>
          <w:i w:val="0"/>
          <w:iCs w:val="0"/>
          <w:szCs w:val="24"/>
        </w:rPr>
      </w:pPr>
      <w:bookmarkStart w:id="2" w:name="_Ref378685768"/>
      <w:r w:rsidRPr="00DE418C">
        <w:rPr>
          <w:szCs w:val="24"/>
        </w:rPr>
        <w:lastRenderedPageBreak/>
        <w:t>Thresholds</w:t>
      </w:r>
      <w:bookmarkEnd w:id="2"/>
    </w:p>
    <w:p w14:paraId="62C1FACF" w14:textId="77777777" w:rsidR="00C9256D" w:rsidRDefault="00C9256D" w:rsidP="00C9256D">
      <w:pPr>
        <w:rPr>
          <w:rFonts w:eastAsia="Times New Roman" w:cs="Times New Roman"/>
        </w:rPr>
      </w:pPr>
      <w:r>
        <w:t xml:space="preserve">Because different sites can have different number of dominant species, we explored several cut values in a community to test the hypothesis that at least in one of their </w:t>
      </w:r>
      <w:r>
        <w:rPr>
          <w:rFonts w:ascii="Symbol" w:eastAsia="Symbol" w:hAnsi="Symbol" w:cs="Symbol"/>
        </w:rPr>
        <w:t></w:t>
      </w:r>
      <w:r>
        <w:rPr>
          <w:vertAlign w:val="subscript"/>
        </w:rPr>
        <w:t>SES.MNTD</w:t>
      </w:r>
      <w:r>
        <w:t xml:space="preserve"> was higher or lower than zero. We defined dominant partitions in each site as a group of species that include either 10, 20</w:t>
      </w:r>
      <w:proofErr w:type="gramStart"/>
      <w:r>
        <w:t>, …,</w:t>
      </w:r>
      <w:proofErr w:type="gramEnd"/>
      <w:r>
        <w:t xml:space="preserve"> 90% (hereafter cutoffs) of the most dominant species in the site. For each one of these cutoffs we split the community in the dominant (D) and non-dominant partition (ND) assigning every species to one of these partitions. </w:t>
      </w:r>
    </w:p>
    <w:p w14:paraId="46BFBA41" w14:textId="77777777" w:rsidR="00C9256D" w:rsidRDefault="00C9256D" w:rsidP="00C9256D">
      <w:r>
        <w:t xml:space="preserve">To decide if the dominant and non-dominant partitions were differently assembled, we estimated </w:t>
      </w:r>
      <w:r>
        <w:rPr>
          <w:rFonts w:ascii="Symbol" w:eastAsia="Symbol" w:hAnsi="Symbol" w:cs="Symbol"/>
        </w:rPr>
        <w:t></w:t>
      </w:r>
      <w:r>
        <w:rPr>
          <w:vertAlign w:val="subscript"/>
        </w:rPr>
        <w:t>SES.MNTD</w:t>
      </w:r>
      <w:r>
        <w:t xml:space="preserve"> for each combination of site, variable and cutoff. We assumed the </w:t>
      </w:r>
      <w:r>
        <w:rPr>
          <w:rFonts w:ascii="Symbol" w:eastAsia="Symbol" w:hAnsi="Symbol" w:cs="Symbol"/>
        </w:rPr>
        <w:t></w:t>
      </w:r>
      <w:r>
        <w:rPr>
          <w:vertAlign w:val="subscript"/>
        </w:rPr>
        <w:t>SES.MNTD</w:t>
      </w:r>
      <w:r>
        <w:t xml:space="preserve"> values were normally distributed with variance 2 and, if both partitions were equally dispersed, mean 0. At any cutoff, a value significantly lower (higher) than zero indicated dominants were more clustered (</w:t>
      </w:r>
      <w:proofErr w:type="spellStart"/>
      <w:r>
        <w:t>overdispersed</w:t>
      </w:r>
      <w:proofErr w:type="spellEnd"/>
      <w:r>
        <w:t>) than non-dominants. In the absence of a meaningful way to identify a relevant cutoff for every site, we identify the site disparity trend (either “D</w:t>
      </w:r>
      <w:r>
        <w:rPr>
          <w:vertAlign w:val="subscript"/>
        </w:rPr>
        <w:t>SES</w:t>
      </w:r>
      <w:r>
        <w:t xml:space="preserve"> &lt; ND</w:t>
      </w:r>
      <w:r>
        <w:rPr>
          <w:vertAlign w:val="subscript"/>
        </w:rPr>
        <w:t>SES</w:t>
      </w:r>
      <w:r>
        <w:t>”, “D</w:t>
      </w:r>
      <w:r>
        <w:rPr>
          <w:vertAlign w:val="subscript"/>
        </w:rPr>
        <w:t>SES</w:t>
      </w:r>
      <w:r>
        <w:t xml:space="preserve"> &gt; ND</w:t>
      </w:r>
      <w:r>
        <w:rPr>
          <w:vertAlign w:val="subscript"/>
        </w:rPr>
        <w:t>SES</w:t>
      </w:r>
      <w:r>
        <w:t xml:space="preserve">”, “NONE” or “BOTH”) if any difference between dominants and non-dominants was significant in any cutoff smaller or equal to a given threshold. For instance, at a 30% threshold, we assumed “D &lt; ND” if any negative significant difference existed at a 10, 20, or 30% cutoff. If, for instance, “D &lt; ND” at 10% and “D &gt; ND” at 30%, we marked that trend as “BOTH”. The actual value </w:t>
      </w:r>
      <w:r>
        <w:rPr>
          <w:rFonts w:ascii="Symbol" w:eastAsia="Symbol" w:hAnsi="Symbol" w:cs="Symbol"/>
        </w:rPr>
        <w:t></w:t>
      </w:r>
      <w:r>
        <w:rPr>
          <w:vertAlign w:val="subscript"/>
        </w:rPr>
        <w:t>SES.MNTD</w:t>
      </w:r>
      <w:r>
        <w:t xml:space="preserve"> was then assumed to be the one at which the minimum difference existed, unless there was a significant positive difference only. In that case, we used the maximum value.</w:t>
      </w:r>
    </w:p>
    <w:p w14:paraId="44592E66" w14:textId="6F2EE0CB" w:rsidR="00C9256D" w:rsidRDefault="00C9256D" w:rsidP="00C9256D">
      <w:r>
        <w:t>As expected, the probability of detecting a difference increased with threshold. We opted for the 50% threshold as a compromise between detection capability and error prone of the criteria (</w:t>
      </w:r>
      <w:r>
        <w:fldChar w:fldCharType="begin"/>
      </w:r>
      <w:r>
        <w:instrText>REF _Ref378691696 \h</w:instrText>
      </w:r>
      <w:r>
        <w:fldChar w:fldCharType="separate"/>
      </w:r>
      <w:r>
        <w:t>Figure SI</w:t>
      </w:r>
      <w:r>
        <w:rPr>
          <w:noProof/>
        </w:rPr>
        <w:t>1</w:t>
      </w:r>
      <w:r>
        <w:fldChar w:fldCharType="end"/>
      </w:r>
      <w:r>
        <w:t>). We found no evidence of both trends (D &lt; ND and D &gt; ND) acting simultaneously.</w:t>
      </w:r>
    </w:p>
    <w:p w14:paraId="2C55D047" w14:textId="77777777" w:rsidR="00C9256D" w:rsidRDefault="00C9256D" w:rsidP="00C9256D"/>
    <w:p w14:paraId="732409BC" w14:textId="77777777" w:rsidR="00C9256D" w:rsidRDefault="00C9256D" w:rsidP="00C9256D">
      <w:pPr>
        <w:ind w:firstLine="0"/>
      </w:pPr>
      <w:r>
        <w:rPr>
          <w:noProof/>
        </w:rPr>
        <w:drawing>
          <wp:inline distT="0" distB="0" distL="0" distR="0" wp14:anchorId="4A7ABA08" wp14:editId="40DB3DFC">
            <wp:extent cx="5486398" cy="1959428"/>
            <wp:effectExtent l="0" t="0" r="635" b="0"/>
            <wp:docPr id="14"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40"/>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5486398" cy="1959428"/>
                    </a:xfrm>
                    <a:prstGeom prst="rect">
                      <a:avLst/>
                    </a:prstGeom>
                  </pic:spPr>
                </pic:pic>
              </a:graphicData>
            </a:graphic>
          </wp:inline>
        </w:drawing>
      </w:r>
    </w:p>
    <w:p w14:paraId="48965840" w14:textId="4BB9D1EB" w:rsidR="00C9256D" w:rsidRDefault="00C9256D" w:rsidP="00C9256D">
      <w:pPr>
        <w:pStyle w:val="Caption"/>
      </w:pPr>
      <w:bookmarkStart w:id="3" w:name="_Ref378691696"/>
      <w:r>
        <w:t>Figure SI</w:t>
      </w:r>
      <w:r>
        <w:fldChar w:fldCharType="begin"/>
      </w:r>
      <w:r>
        <w:instrText>SEQ Figure_SI \* ARABIC</w:instrText>
      </w:r>
      <w:r>
        <w:fldChar w:fldCharType="separate"/>
      </w:r>
      <w:r>
        <w:rPr>
          <w:noProof/>
        </w:rPr>
        <w:t>1</w:t>
      </w:r>
      <w:r>
        <w:fldChar w:fldCharType="end"/>
      </w:r>
      <w:bookmarkEnd w:id="3"/>
      <w:r>
        <w:t>: Proportion of sites with different disparity trends at different thresholds that capture any partition of species in dominants and non-dominants at a cut-off equal or lower than the given threshold. Each panel represents a different dominance measure. We consider four potential disparity trends: At least in one cut-off lower than the threshold (i) the dominants are less phylogenetically dispersed than non-dominants (D &lt; ND), (ii) the dominants are more phylogenetically dispersed than non-dominants (D &gt; ND), (iii) both conditions hold (D &lt; ND at one cut-off and D &gt; ND at another cut-off) and (iv) none condition hold at any cut-off.</w:t>
      </w:r>
    </w:p>
    <w:p w14:paraId="4AC458E7" w14:textId="77777777" w:rsidR="00C9256D" w:rsidRDefault="00C9256D" w:rsidP="00C9256D">
      <w:pPr>
        <w:ind w:firstLine="0"/>
      </w:pPr>
    </w:p>
    <w:p w14:paraId="699384F6" w14:textId="3F39CEF3" w:rsidR="00C9256D" w:rsidRPr="00DE418C" w:rsidRDefault="00C9256D" w:rsidP="00C9256D">
      <w:pPr>
        <w:pStyle w:val="Heading3"/>
        <w:rPr>
          <w:b/>
          <w:bCs/>
          <w:i w:val="0"/>
          <w:iCs w:val="0"/>
          <w:szCs w:val="24"/>
        </w:rPr>
      </w:pPr>
      <w:r w:rsidRPr="00DE418C">
        <w:rPr>
          <w:szCs w:val="24"/>
        </w:rPr>
        <w:t>Extremes</w:t>
      </w:r>
    </w:p>
    <w:p w14:paraId="5B60B28C" w14:textId="4176B583" w:rsidR="00C9256D" w:rsidRDefault="00C9256D" w:rsidP="00C9256D">
      <w:r>
        <w:t xml:space="preserve">In this method to partition the communities we defined the dominant and non-dominant partitions as the ones that would create a minimum or a maximum </w:t>
      </w:r>
      <w:r>
        <w:rPr>
          <w:rFonts w:ascii="Symbol" w:eastAsia="Symbol" w:hAnsi="Symbol" w:cs="Symbol"/>
        </w:rPr>
        <w:t></w:t>
      </w:r>
      <w:r>
        <w:rPr>
          <w:vertAlign w:val="subscript"/>
        </w:rPr>
        <w:t>SES.MNTD</w:t>
      </w:r>
      <w:r>
        <w:t xml:space="preserve">. We started with the </w:t>
      </w:r>
      <w:r>
        <w:rPr>
          <w:vertAlign w:val="subscript"/>
        </w:rPr>
        <w:t>SES.MNTD</w:t>
      </w:r>
      <w:r>
        <w:t xml:space="preserve"> values for each site, partition and cutoff generated in the </w:t>
      </w:r>
      <w:r w:rsidRPr="00DE418C">
        <w:rPr>
          <w:i/>
          <w:iCs/>
          <w:szCs w:val="24"/>
        </w:rPr>
        <w:t>Thresholds</w:t>
      </w:r>
      <w:r>
        <w:rPr>
          <w:szCs w:val="24"/>
        </w:rPr>
        <w:t xml:space="preserve"> approach (previous section)</w:t>
      </w:r>
      <w:r>
        <w:t xml:space="preserve">. Then, we obtained the difference between each combination of the dominant and non-dominant partitions. While doing so, each species was assigned to either the dominant or the non-dominant partition, or to none of them. </w:t>
      </w:r>
      <w:proofErr w:type="gramStart"/>
      <w:r>
        <w:t xml:space="preserve">We choose the minimum and maximum </w:t>
      </w:r>
      <w:r>
        <w:rPr>
          <w:rFonts w:ascii="Symbol" w:eastAsia="Symbol" w:hAnsi="Symbol" w:cs="Symbol"/>
        </w:rPr>
        <w:t></w:t>
      </w:r>
      <w:r>
        <w:rPr>
          <w:vertAlign w:val="subscript"/>
        </w:rPr>
        <w:t>SES.MNTD</w:t>
      </w:r>
      <w:r>
        <w:t>, and estimated their significance.</w:t>
      </w:r>
      <w:proofErr w:type="gramEnd"/>
      <w:r>
        <w:t xml:space="preserve"> We identified the site trend as either “D</w:t>
      </w:r>
      <w:r>
        <w:rPr>
          <w:vertAlign w:val="subscript"/>
        </w:rPr>
        <w:t>SES</w:t>
      </w:r>
      <w:r>
        <w:t xml:space="preserve"> &gt; ND</w:t>
      </w:r>
      <w:r>
        <w:rPr>
          <w:vertAlign w:val="subscript"/>
        </w:rPr>
        <w:t>SES</w:t>
      </w:r>
      <w:r>
        <w:t>”, “D</w:t>
      </w:r>
      <w:r>
        <w:rPr>
          <w:vertAlign w:val="subscript"/>
        </w:rPr>
        <w:t>SES</w:t>
      </w:r>
      <w:r>
        <w:t xml:space="preserve"> &lt; ND</w:t>
      </w:r>
      <w:r>
        <w:rPr>
          <w:vertAlign w:val="subscript"/>
        </w:rPr>
        <w:t>SES</w:t>
      </w:r>
      <w:r>
        <w:t xml:space="preserve">”, “NONE” or “BOTH” according the rules in </w:t>
      </w:r>
      <w:r>
        <w:fldChar w:fldCharType="begin"/>
      </w:r>
      <w:r>
        <w:instrText>REF _Ref378691088 \h</w:instrText>
      </w:r>
      <w:r>
        <w:fldChar w:fldCharType="separate"/>
      </w:r>
      <w:r>
        <w:t>Table SI</w:t>
      </w:r>
      <w:r>
        <w:rPr>
          <w:noProof/>
        </w:rPr>
        <w:t>1</w:t>
      </w:r>
      <w:r>
        <w:fldChar w:fldCharType="end"/>
      </w:r>
      <w:r>
        <w:t xml:space="preserve">. The final </w:t>
      </w:r>
      <w:r>
        <w:rPr>
          <w:rFonts w:ascii="Symbol" w:eastAsia="Symbol" w:hAnsi="Symbol" w:cs="Symbol"/>
        </w:rPr>
        <w:t></w:t>
      </w:r>
      <w:r>
        <w:rPr>
          <w:vertAlign w:val="subscript"/>
        </w:rPr>
        <w:t>SES.MNTD</w:t>
      </w:r>
      <w:r>
        <w:t xml:space="preserve"> used to compare with the other partitioning methods was estimated base on the observed trend (</w:t>
      </w:r>
      <w:r>
        <w:fldChar w:fldCharType="begin"/>
      </w:r>
      <w:r>
        <w:instrText>REF _Ref378691088 \h</w:instrText>
      </w:r>
      <w:r>
        <w:fldChar w:fldCharType="separate"/>
      </w:r>
      <w:r>
        <w:t>Table SI</w:t>
      </w:r>
      <w:r>
        <w:rPr>
          <w:noProof/>
        </w:rPr>
        <w:t>1</w:t>
      </w:r>
      <w:r>
        <w:fldChar w:fldCharType="end"/>
      </w:r>
      <w:r>
        <w:t xml:space="preserve">). We opted to focus in in the </w:t>
      </w:r>
      <w:proofErr w:type="gramStart"/>
      <w:r>
        <w:t>min(</w:t>
      </w:r>
      <w:proofErr w:type="gramEnd"/>
      <w:r>
        <w:rPr>
          <w:rFonts w:ascii="Symbol" w:eastAsia="Symbol" w:hAnsi="Symbol" w:cs="Symbol"/>
        </w:rPr>
        <w:t></w:t>
      </w:r>
      <w:r>
        <w:rPr>
          <w:vertAlign w:val="subscript"/>
        </w:rPr>
        <w:t>SES.MNTD</w:t>
      </w:r>
      <w:r>
        <w:t>) unless strong evidence against it existed because the minimum curved seems farther from zero, indicating it is less likely to be randomly generated (</w:t>
      </w:r>
      <w:r>
        <w:fldChar w:fldCharType="begin"/>
      </w:r>
      <w:r>
        <w:instrText>REF _Ref378691698 \h</w:instrText>
      </w:r>
      <w:r>
        <w:fldChar w:fldCharType="separate"/>
      </w:r>
      <w:r>
        <w:t>Figure SI</w:t>
      </w:r>
      <w:r>
        <w:rPr>
          <w:noProof/>
        </w:rPr>
        <w:t>2</w:t>
      </w:r>
      <w:r>
        <w:fldChar w:fldCharType="end"/>
      </w:r>
      <w:r>
        <w:t>).</w:t>
      </w:r>
    </w:p>
    <w:p w14:paraId="021E41C1" w14:textId="77777777" w:rsidR="00C53079" w:rsidRDefault="00C53079" w:rsidP="00C9256D"/>
    <w:p w14:paraId="27AE9541" w14:textId="15D21D73" w:rsidR="00C9256D" w:rsidRDefault="00C9256D" w:rsidP="00C9256D">
      <w:pPr>
        <w:pStyle w:val="Caption"/>
        <w:keepNext/>
      </w:pPr>
      <w:bookmarkStart w:id="4" w:name="_Ref378691088"/>
      <w:r>
        <w:t>Table SI</w:t>
      </w:r>
      <w:r>
        <w:fldChar w:fldCharType="begin"/>
      </w:r>
      <w:r>
        <w:instrText>SEQ Table_SI \* ARABIC</w:instrText>
      </w:r>
      <w:r>
        <w:fldChar w:fldCharType="separate"/>
      </w:r>
      <w:r>
        <w:rPr>
          <w:noProof/>
        </w:rPr>
        <w:t>1</w:t>
      </w:r>
      <w:r>
        <w:fldChar w:fldCharType="end"/>
      </w:r>
      <w:bookmarkEnd w:id="4"/>
      <w:r>
        <w:t xml:space="preserve">: Criteria used to define the site level disparity trend and the measure of </w:t>
      </w:r>
      <w:r>
        <w:rPr>
          <w:rFonts w:ascii="Symbol" w:eastAsia="Symbol" w:hAnsi="Symbol" w:cs="Symbol"/>
        </w:rPr>
        <w:t></w:t>
      </w:r>
      <w:r>
        <w:rPr>
          <w:vertAlign w:val="subscript"/>
        </w:rPr>
        <w:t>SES.MNTD</w:t>
      </w:r>
      <w:r>
        <w:t xml:space="preserve"> used to compare with the other partitioning methods.</w:t>
      </w:r>
    </w:p>
    <w:tbl>
      <w:tblPr>
        <w:tblStyle w:val="TableGrid"/>
        <w:tblW w:w="7465" w:type="dxa"/>
        <w:tblLook w:val="04A0" w:firstRow="1" w:lastRow="0" w:firstColumn="1" w:lastColumn="0" w:noHBand="0" w:noVBand="1"/>
      </w:tblPr>
      <w:tblGrid>
        <w:gridCol w:w="1478"/>
        <w:gridCol w:w="1445"/>
        <w:gridCol w:w="1548"/>
        <w:gridCol w:w="1548"/>
        <w:gridCol w:w="1446"/>
      </w:tblGrid>
      <w:tr w:rsidR="00C9256D" w14:paraId="0985A2E3" w14:textId="77777777" w:rsidTr="00F27C7C">
        <w:tc>
          <w:tcPr>
            <w:tcW w:w="1478" w:type="dxa"/>
            <w:tcBorders>
              <w:left w:val="nil"/>
              <w:right w:val="nil"/>
            </w:tcBorders>
            <w:shd w:val="clear" w:color="auto" w:fill="auto"/>
          </w:tcPr>
          <w:p w14:paraId="6FA0A3C5" w14:textId="77777777" w:rsidR="00C9256D" w:rsidRDefault="00C9256D" w:rsidP="00C9256D">
            <w:pPr>
              <w:pStyle w:val="tabletext"/>
              <w:rPr>
                <w:b/>
              </w:rPr>
            </w:pPr>
            <w:r>
              <w:rPr>
                <w:rFonts w:eastAsia="Arial Unicode MS"/>
                <w:b/>
              </w:rPr>
              <w:t>Criteria</w:t>
            </w:r>
          </w:p>
        </w:tc>
        <w:tc>
          <w:tcPr>
            <w:tcW w:w="1445" w:type="dxa"/>
            <w:tcBorders>
              <w:left w:val="nil"/>
              <w:right w:val="nil"/>
            </w:tcBorders>
            <w:shd w:val="clear" w:color="auto" w:fill="auto"/>
          </w:tcPr>
          <w:p w14:paraId="00B7AF83" w14:textId="77777777" w:rsidR="00C9256D" w:rsidRDefault="00C9256D" w:rsidP="00C9256D">
            <w:pPr>
              <w:pStyle w:val="tabletext"/>
              <w:rPr>
                <w:b/>
              </w:rPr>
            </w:pPr>
            <w:r>
              <w:rPr>
                <w:rFonts w:eastAsia="Arial Unicode MS"/>
                <w:b/>
              </w:rPr>
              <w:t>Both</w:t>
            </w:r>
          </w:p>
        </w:tc>
        <w:tc>
          <w:tcPr>
            <w:tcW w:w="1548" w:type="dxa"/>
            <w:tcBorders>
              <w:left w:val="nil"/>
              <w:right w:val="nil"/>
            </w:tcBorders>
            <w:shd w:val="clear" w:color="auto" w:fill="auto"/>
          </w:tcPr>
          <w:p w14:paraId="21D4DA48" w14:textId="77777777" w:rsidR="00C9256D" w:rsidRDefault="00C9256D" w:rsidP="00C9256D">
            <w:pPr>
              <w:pStyle w:val="tabletext"/>
              <w:rPr>
                <w:b/>
              </w:rPr>
            </w:pPr>
            <w:r>
              <w:rPr>
                <w:rFonts w:eastAsia="Arial Unicode MS"/>
                <w:b/>
              </w:rPr>
              <w:t>D</w:t>
            </w:r>
            <w:r>
              <w:rPr>
                <w:rFonts w:eastAsia="Arial Unicode MS"/>
                <w:b/>
                <w:vertAlign w:val="subscript"/>
              </w:rPr>
              <w:t>SES</w:t>
            </w:r>
            <w:r>
              <w:rPr>
                <w:rFonts w:eastAsia="Arial Unicode MS"/>
                <w:b/>
              </w:rPr>
              <w:t xml:space="preserve"> &lt; ND</w:t>
            </w:r>
            <w:r>
              <w:rPr>
                <w:rFonts w:eastAsia="Arial Unicode MS"/>
                <w:b/>
                <w:vertAlign w:val="subscript"/>
              </w:rPr>
              <w:t>SES</w:t>
            </w:r>
          </w:p>
        </w:tc>
        <w:tc>
          <w:tcPr>
            <w:tcW w:w="1548" w:type="dxa"/>
            <w:tcBorders>
              <w:left w:val="nil"/>
              <w:right w:val="nil"/>
            </w:tcBorders>
            <w:shd w:val="clear" w:color="auto" w:fill="auto"/>
          </w:tcPr>
          <w:p w14:paraId="7DC6BDA4" w14:textId="77777777" w:rsidR="00C9256D" w:rsidRDefault="00C9256D" w:rsidP="00C9256D">
            <w:pPr>
              <w:pStyle w:val="tabletext"/>
              <w:rPr>
                <w:b/>
              </w:rPr>
            </w:pPr>
            <w:r>
              <w:rPr>
                <w:rFonts w:eastAsia="Arial Unicode MS"/>
                <w:b/>
              </w:rPr>
              <w:t>D</w:t>
            </w:r>
            <w:r>
              <w:rPr>
                <w:rFonts w:eastAsia="Arial Unicode MS"/>
                <w:b/>
                <w:vertAlign w:val="subscript"/>
              </w:rPr>
              <w:t>SES</w:t>
            </w:r>
            <w:r>
              <w:rPr>
                <w:rFonts w:eastAsia="Arial Unicode MS"/>
                <w:b/>
              </w:rPr>
              <w:t xml:space="preserve"> &gt; ND</w:t>
            </w:r>
            <w:r>
              <w:rPr>
                <w:rFonts w:eastAsia="Arial Unicode MS"/>
                <w:b/>
                <w:vertAlign w:val="subscript"/>
              </w:rPr>
              <w:t>SES</w:t>
            </w:r>
          </w:p>
        </w:tc>
        <w:tc>
          <w:tcPr>
            <w:tcW w:w="1446" w:type="dxa"/>
            <w:tcBorders>
              <w:left w:val="nil"/>
              <w:right w:val="nil"/>
            </w:tcBorders>
            <w:shd w:val="clear" w:color="auto" w:fill="auto"/>
          </w:tcPr>
          <w:p w14:paraId="4C663ED7" w14:textId="77777777" w:rsidR="00C9256D" w:rsidRDefault="00C9256D" w:rsidP="00C9256D">
            <w:pPr>
              <w:pStyle w:val="tabletext"/>
              <w:rPr>
                <w:b/>
              </w:rPr>
            </w:pPr>
            <w:r>
              <w:rPr>
                <w:rFonts w:eastAsia="Arial Unicode MS"/>
                <w:b/>
              </w:rPr>
              <w:t>None</w:t>
            </w:r>
          </w:p>
        </w:tc>
      </w:tr>
      <w:tr w:rsidR="00C9256D" w14:paraId="7C6FE935" w14:textId="77777777" w:rsidTr="00F27C7C">
        <w:tc>
          <w:tcPr>
            <w:tcW w:w="1478" w:type="dxa"/>
            <w:tcBorders>
              <w:left w:val="nil"/>
              <w:bottom w:val="nil"/>
              <w:right w:val="nil"/>
            </w:tcBorders>
            <w:shd w:val="clear" w:color="auto" w:fill="auto"/>
          </w:tcPr>
          <w:p w14:paraId="66C69DB4" w14:textId="77777777" w:rsidR="00C9256D" w:rsidRDefault="00C9256D" w:rsidP="00C9256D">
            <w:pPr>
              <w:pStyle w:val="tabletext"/>
            </w:pPr>
            <w:r>
              <w:t>Min(</w:t>
            </w:r>
            <w:r>
              <w:rPr>
                <w:rFonts w:ascii="Symbol" w:eastAsia="Symbol" w:hAnsi="Symbol" w:cs="Symbol"/>
              </w:rPr>
              <w:t></w:t>
            </w:r>
            <w:r>
              <w:rPr>
                <w:vertAlign w:val="subscript"/>
              </w:rPr>
              <w:t>SES.MNTD</w:t>
            </w:r>
            <w:r>
              <w:t>)</w:t>
            </w:r>
          </w:p>
        </w:tc>
        <w:tc>
          <w:tcPr>
            <w:tcW w:w="1445" w:type="dxa"/>
            <w:tcBorders>
              <w:left w:val="nil"/>
              <w:bottom w:val="nil"/>
              <w:right w:val="nil"/>
            </w:tcBorders>
            <w:shd w:val="clear" w:color="auto" w:fill="auto"/>
          </w:tcPr>
          <w:p w14:paraId="6C9CE7EB" w14:textId="77777777" w:rsidR="00C9256D" w:rsidRDefault="00C9256D" w:rsidP="00C9256D">
            <w:pPr>
              <w:pStyle w:val="tabletext"/>
              <w:rPr>
                <w:rFonts w:eastAsia="Arial Unicode MS"/>
              </w:rPr>
            </w:pPr>
            <w:r>
              <w:rPr>
                <w:rFonts w:eastAsia="Arial Unicode MS"/>
              </w:rPr>
              <w:t>&lt; 0</w:t>
            </w:r>
          </w:p>
        </w:tc>
        <w:tc>
          <w:tcPr>
            <w:tcW w:w="1548" w:type="dxa"/>
            <w:tcBorders>
              <w:left w:val="nil"/>
              <w:bottom w:val="nil"/>
              <w:right w:val="nil"/>
            </w:tcBorders>
            <w:shd w:val="clear" w:color="auto" w:fill="auto"/>
          </w:tcPr>
          <w:p w14:paraId="5A7A00EE" w14:textId="77777777" w:rsidR="00C9256D" w:rsidRDefault="00C9256D" w:rsidP="00C9256D">
            <w:pPr>
              <w:pStyle w:val="tabletext"/>
              <w:rPr>
                <w:rFonts w:eastAsia="Arial Unicode MS"/>
              </w:rPr>
            </w:pPr>
            <w:r>
              <w:rPr>
                <w:rFonts w:eastAsia="Arial Unicode MS"/>
              </w:rPr>
              <w:t>&lt; 0</w:t>
            </w:r>
          </w:p>
        </w:tc>
        <w:tc>
          <w:tcPr>
            <w:tcW w:w="1548" w:type="dxa"/>
            <w:tcBorders>
              <w:left w:val="nil"/>
              <w:bottom w:val="nil"/>
              <w:right w:val="nil"/>
            </w:tcBorders>
            <w:shd w:val="clear" w:color="auto" w:fill="auto"/>
          </w:tcPr>
          <w:p w14:paraId="15828D4B" w14:textId="77777777" w:rsidR="00C9256D" w:rsidRDefault="00C9256D" w:rsidP="00C9256D">
            <w:pPr>
              <w:pStyle w:val="tabletext"/>
              <w:rPr>
                <w:rFonts w:eastAsia="Arial Unicode MS"/>
              </w:rPr>
            </w:pPr>
            <w:r>
              <w:rPr>
                <w:rFonts w:eastAsia="Arial Unicode MS"/>
              </w:rPr>
              <w:t>= 0</w:t>
            </w:r>
          </w:p>
        </w:tc>
        <w:tc>
          <w:tcPr>
            <w:tcW w:w="1446" w:type="dxa"/>
            <w:tcBorders>
              <w:left w:val="nil"/>
              <w:bottom w:val="nil"/>
              <w:right w:val="nil"/>
            </w:tcBorders>
            <w:shd w:val="clear" w:color="auto" w:fill="auto"/>
          </w:tcPr>
          <w:p w14:paraId="4C734020" w14:textId="77777777" w:rsidR="00C9256D" w:rsidRDefault="00C9256D" w:rsidP="00C9256D">
            <w:pPr>
              <w:pStyle w:val="tabletext"/>
              <w:rPr>
                <w:rFonts w:eastAsia="Arial Unicode MS"/>
              </w:rPr>
            </w:pPr>
            <w:r>
              <w:rPr>
                <w:rFonts w:eastAsia="Arial Unicode MS"/>
              </w:rPr>
              <w:t>= 0</w:t>
            </w:r>
          </w:p>
        </w:tc>
      </w:tr>
      <w:tr w:rsidR="00C9256D" w14:paraId="555DF8CB" w14:textId="77777777" w:rsidTr="00F27C7C">
        <w:tc>
          <w:tcPr>
            <w:tcW w:w="1478" w:type="dxa"/>
            <w:tcBorders>
              <w:top w:val="nil"/>
              <w:left w:val="nil"/>
              <w:bottom w:val="nil"/>
              <w:right w:val="nil"/>
            </w:tcBorders>
            <w:shd w:val="clear" w:color="auto" w:fill="auto"/>
          </w:tcPr>
          <w:p w14:paraId="6C52916F" w14:textId="77777777" w:rsidR="00C9256D" w:rsidRDefault="00C9256D" w:rsidP="00C9256D">
            <w:pPr>
              <w:pStyle w:val="tabletext"/>
            </w:pPr>
            <w:r>
              <w:t>Max(</w:t>
            </w:r>
            <w:r>
              <w:rPr>
                <w:rFonts w:ascii="Symbol" w:eastAsia="Symbol" w:hAnsi="Symbol" w:cs="Symbol"/>
              </w:rPr>
              <w:t></w:t>
            </w:r>
            <w:r>
              <w:rPr>
                <w:vertAlign w:val="subscript"/>
              </w:rPr>
              <w:t>SES.MNTD</w:t>
            </w:r>
            <w:r>
              <w:t>)</w:t>
            </w:r>
          </w:p>
        </w:tc>
        <w:tc>
          <w:tcPr>
            <w:tcW w:w="1445" w:type="dxa"/>
            <w:tcBorders>
              <w:top w:val="nil"/>
              <w:left w:val="nil"/>
              <w:bottom w:val="nil"/>
              <w:right w:val="nil"/>
            </w:tcBorders>
            <w:shd w:val="clear" w:color="auto" w:fill="auto"/>
          </w:tcPr>
          <w:p w14:paraId="36A240D7" w14:textId="77777777" w:rsidR="00C9256D" w:rsidRDefault="00C9256D" w:rsidP="00C9256D">
            <w:pPr>
              <w:pStyle w:val="tabletext"/>
              <w:rPr>
                <w:rFonts w:eastAsia="Arial Unicode MS"/>
              </w:rPr>
            </w:pPr>
            <w:r>
              <w:rPr>
                <w:rFonts w:eastAsia="Arial Unicode MS"/>
              </w:rPr>
              <w:t>&gt; 0</w:t>
            </w:r>
          </w:p>
        </w:tc>
        <w:tc>
          <w:tcPr>
            <w:tcW w:w="1548" w:type="dxa"/>
            <w:tcBorders>
              <w:top w:val="nil"/>
              <w:left w:val="nil"/>
              <w:bottom w:val="nil"/>
              <w:right w:val="nil"/>
            </w:tcBorders>
            <w:shd w:val="clear" w:color="auto" w:fill="auto"/>
          </w:tcPr>
          <w:p w14:paraId="099E5924" w14:textId="77777777" w:rsidR="00C9256D" w:rsidRDefault="00C9256D" w:rsidP="00C9256D">
            <w:pPr>
              <w:pStyle w:val="tabletext"/>
              <w:rPr>
                <w:rFonts w:eastAsia="Arial Unicode MS"/>
              </w:rPr>
            </w:pPr>
            <w:r>
              <w:rPr>
                <w:rFonts w:eastAsia="Arial Unicode MS"/>
              </w:rPr>
              <w:t>= 0</w:t>
            </w:r>
          </w:p>
        </w:tc>
        <w:tc>
          <w:tcPr>
            <w:tcW w:w="1548" w:type="dxa"/>
            <w:tcBorders>
              <w:top w:val="nil"/>
              <w:left w:val="nil"/>
              <w:bottom w:val="nil"/>
              <w:right w:val="nil"/>
            </w:tcBorders>
            <w:shd w:val="clear" w:color="auto" w:fill="auto"/>
          </w:tcPr>
          <w:p w14:paraId="1ACE762C" w14:textId="77777777" w:rsidR="00C9256D" w:rsidRDefault="00C9256D" w:rsidP="00C9256D">
            <w:pPr>
              <w:pStyle w:val="tabletext"/>
              <w:rPr>
                <w:rFonts w:eastAsia="Arial Unicode MS"/>
              </w:rPr>
            </w:pPr>
            <w:r>
              <w:rPr>
                <w:rFonts w:eastAsia="Arial Unicode MS"/>
              </w:rPr>
              <w:t>&gt; 0</w:t>
            </w:r>
          </w:p>
        </w:tc>
        <w:tc>
          <w:tcPr>
            <w:tcW w:w="1446" w:type="dxa"/>
            <w:tcBorders>
              <w:top w:val="nil"/>
              <w:left w:val="nil"/>
              <w:bottom w:val="nil"/>
              <w:right w:val="nil"/>
            </w:tcBorders>
            <w:shd w:val="clear" w:color="auto" w:fill="auto"/>
          </w:tcPr>
          <w:p w14:paraId="7D984362" w14:textId="77777777" w:rsidR="00C9256D" w:rsidRDefault="00C9256D" w:rsidP="00C9256D">
            <w:pPr>
              <w:pStyle w:val="tabletext"/>
              <w:rPr>
                <w:rFonts w:eastAsia="Arial Unicode MS"/>
              </w:rPr>
            </w:pPr>
            <w:r>
              <w:rPr>
                <w:rFonts w:eastAsia="Arial Unicode MS"/>
              </w:rPr>
              <w:t>= 0</w:t>
            </w:r>
          </w:p>
        </w:tc>
      </w:tr>
      <w:tr w:rsidR="00C9256D" w14:paraId="3066B57B" w14:textId="77777777" w:rsidTr="00F27C7C">
        <w:tc>
          <w:tcPr>
            <w:tcW w:w="1478" w:type="dxa"/>
            <w:tcBorders>
              <w:top w:val="nil"/>
              <w:left w:val="nil"/>
              <w:right w:val="nil"/>
            </w:tcBorders>
            <w:shd w:val="clear" w:color="auto" w:fill="auto"/>
          </w:tcPr>
          <w:p w14:paraId="111E56B2" w14:textId="77777777" w:rsidR="00C9256D" w:rsidRDefault="00C9256D" w:rsidP="00C9256D">
            <w:pPr>
              <w:pStyle w:val="tabletext"/>
            </w:pPr>
            <w:r>
              <w:rPr>
                <w:rFonts w:ascii="Symbol" w:eastAsia="Symbol" w:hAnsi="Symbol" w:cs="Symbol"/>
              </w:rPr>
              <w:t></w:t>
            </w:r>
            <w:r>
              <w:rPr>
                <w:vertAlign w:val="subscript"/>
              </w:rPr>
              <w:t>SES.MNTD</w:t>
            </w:r>
          </w:p>
        </w:tc>
        <w:tc>
          <w:tcPr>
            <w:tcW w:w="1445" w:type="dxa"/>
            <w:tcBorders>
              <w:top w:val="nil"/>
              <w:left w:val="nil"/>
              <w:right w:val="nil"/>
            </w:tcBorders>
            <w:shd w:val="clear" w:color="auto" w:fill="auto"/>
          </w:tcPr>
          <w:p w14:paraId="53F0A110" w14:textId="77777777" w:rsidR="00C9256D" w:rsidRDefault="00C9256D" w:rsidP="00C9256D">
            <w:pPr>
              <w:pStyle w:val="tabletext"/>
            </w:pPr>
            <w:r>
              <w:t>Min(</w:t>
            </w:r>
            <w:r>
              <w:rPr>
                <w:rFonts w:ascii="Symbol" w:eastAsia="Symbol" w:hAnsi="Symbol" w:cs="Symbol"/>
              </w:rPr>
              <w:t></w:t>
            </w:r>
            <w:r>
              <w:rPr>
                <w:vertAlign w:val="subscript"/>
              </w:rPr>
              <w:t>SES.MNTD</w:t>
            </w:r>
            <w:r>
              <w:t>)</w:t>
            </w:r>
          </w:p>
        </w:tc>
        <w:tc>
          <w:tcPr>
            <w:tcW w:w="1548" w:type="dxa"/>
            <w:tcBorders>
              <w:top w:val="nil"/>
              <w:left w:val="nil"/>
              <w:right w:val="nil"/>
            </w:tcBorders>
            <w:shd w:val="clear" w:color="auto" w:fill="auto"/>
          </w:tcPr>
          <w:p w14:paraId="515FB7B5" w14:textId="77777777" w:rsidR="00C9256D" w:rsidRDefault="00C9256D" w:rsidP="00C9256D">
            <w:pPr>
              <w:pStyle w:val="tabletext"/>
            </w:pPr>
            <w:r>
              <w:t>Min(</w:t>
            </w:r>
            <w:r>
              <w:rPr>
                <w:rFonts w:ascii="Symbol" w:eastAsia="Symbol" w:hAnsi="Symbol" w:cs="Symbol"/>
              </w:rPr>
              <w:t></w:t>
            </w:r>
            <w:r>
              <w:rPr>
                <w:vertAlign w:val="subscript"/>
              </w:rPr>
              <w:t>SES.MNTD</w:t>
            </w:r>
            <w:r>
              <w:t>)</w:t>
            </w:r>
          </w:p>
        </w:tc>
        <w:tc>
          <w:tcPr>
            <w:tcW w:w="1548" w:type="dxa"/>
            <w:tcBorders>
              <w:top w:val="nil"/>
              <w:left w:val="nil"/>
              <w:right w:val="nil"/>
            </w:tcBorders>
            <w:shd w:val="clear" w:color="auto" w:fill="auto"/>
          </w:tcPr>
          <w:p w14:paraId="60176CE0" w14:textId="77777777" w:rsidR="00C9256D" w:rsidRDefault="00C9256D" w:rsidP="00C9256D">
            <w:pPr>
              <w:pStyle w:val="tabletext"/>
            </w:pPr>
            <w:r>
              <w:t>Max(</w:t>
            </w:r>
            <w:r>
              <w:rPr>
                <w:rFonts w:ascii="Symbol" w:eastAsia="Symbol" w:hAnsi="Symbol" w:cs="Symbol"/>
              </w:rPr>
              <w:t></w:t>
            </w:r>
            <w:r>
              <w:rPr>
                <w:vertAlign w:val="subscript"/>
              </w:rPr>
              <w:t>SES.MNTD</w:t>
            </w:r>
            <w:r>
              <w:t>)</w:t>
            </w:r>
          </w:p>
        </w:tc>
        <w:tc>
          <w:tcPr>
            <w:tcW w:w="1446" w:type="dxa"/>
            <w:tcBorders>
              <w:top w:val="nil"/>
              <w:left w:val="nil"/>
              <w:right w:val="nil"/>
            </w:tcBorders>
            <w:shd w:val="clear" w:color="auto" w:fill="auto"/>
          </w:tcPr>
          <w:p w14:paraId="7DB8AA35" w14:textId="77777777" w:rsidR="00C9256D" w:rsidRDefault="00C9256D" w:rsidP="00C9256D">
            <w:pPr>
              <w:pStyle w:val="tabletext"/>
            </w:pPr>
            <w:r>
              <w:t>Min(</w:t>
            </w:r>
            <w:r>
              <w:rPr>
                <w:rFonts w:ascii="Symbol" w:eastAsia="Symbol" w:hAnsi="Symbol" w:cs="Symbol"/>
              </w:rPr>
              <w:t></w:t>
            </w:r>
            <w:r>
              <w:rPr>
                <w:vertAlign w:val="subscript"/>
              </w:rPr>
              <w:t>SES.MNTD</w:t>
            </w:r>
            <w:r>
              <w:t>)</w:t>
            </w:r>
          </w:p>
        </w:tc>
      </w:tr>
    </w:tbl>
    <w:p w14:paraId="6F4CFDD5" w14:textId="5DCD3073" w:rsidR="00C9256D" w:rsidRDefault="00C9256D" w:rsidP="00C9256D"/>
    <w:p w14:paraId="23C8937C" w14:textId="77777777" w:rsidR="00C53079" w:rsidRDefault="00C53079" w:rsidP="00C9256D"/>
    <w:p w14:paraId="77B2BF86" w14:textId="77777777" w:rsidR="00C9256D" w:rsidRDefault="00C9256D" w:rsidP="00C9256D">
      <w:pPr>
        <w:ind w:firstLine="0"/>
      </w:pPr>
      <w:r>
        <w:rPr>
          <w:noProof/>
        </w:rPr>
        <w:drawing>
          <wp:inline distT="0" distB="0" distL="0" distR="0" wp14:anchorId="60CDF627" wp14:editId="4C03E99C">
            <wp:extent cx="5486400" cy="1959428"/>
            <wp:effectExtent l="0" t="0" r="0" b="0"/>
            <wp:docPr id="15"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41"/>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5486400" cy="1959428"/>
                    </a:xfrm>
                    <a:prstGeom prst="rect">
                      <a:avLst/>
                    </a:prstGeom>
                  </pic:spPr>
                </pic:pic>
              </a:graphicData>
            </a:graphic>
          </wp:inline>
        </w:drawing>
      </w:r>
    </w:p>
    <w:p w14:paraId="1F6A6E4B" w14:textId="02C7FF25" w:rsidR="00C9256D" w:rsidRDefault="00C9256D" w:rsidP="00C9256D">
      <w:pPr>
        <w:pStyle w:val="Caption"/>
      </w:pPr>
      <w:bookmarkStart w:id="5" w:name="_Ref378691698"/>
      <w:r>
        <w:t>Figure SI</w:t>
      </w:r>
      <w:r>
        <w:fldChar w:fldCharType="begin"/>
      </w:r>
      <w:r>
        <w:instrText>SEQ Figure_SI \* ARABIC</w:instrText>
      </w:r>
      <w:r>
        <w:fldChar w:fldCharType="separate"/>
      </w:r>
      <w:r>
        <w:rPr>
          <w:noProof/>
        </w:rPr>
        <w:t>2</w:t>
      </w:r>
      <w:r>
        <w:fldChar w:fldCharType="end"/>
      </w:r>
      <w:bookmarkEnd w:id="5"/>
      <w:r>
        <w:t xml:space="preserve">: Observed density of the </w:t>
      </w:r>
      <w:r>
        <w:rPr>
          <w:rFonts w:ascii="Symbol" w:eastAsia="Symbol" w:hAnsi="Symbol" w:cs="Symbol"/>
        </w:rPr>
        <w:t></w:t>
      </w:r>
      <w:r>
        <w:rPr>
          <w:vertAlign w:val="subscript"/>
        </w:rPr>
        <w:t>SES.MNTD</w:t>
      </w:r>
      <w:r>
        <w:t xml:space="preserve"> globally when obtaining the maximum and minimum difference in the dominant and non-dominant phylogenetic dispersion. Each panel represents a different dominance measure.</w:t>
      </w:r>
    </w:p>
    <w:p w14:paraId="5115FB67" w14:textId="77777777" w:rsidR="00C9256D" w:rsidRDefault="00C9256D" w:rsidP="00C9256D">
      <w:pPr>
        <w:ind w:firstLine="0"/>
      </w:pPr>
    </w:p>
    <w:p w14:paraId="535A752F" w14:textId="27C51865" w:rsidR="00C9256D" w:rsidRDefault="00C9256D" w:rsidP="00C9256D">
      <w:pPr>
        <w:pStyle w:val="Heading2"/>
      </w:pPr>
      <w:r>
        <w:t>Comparison among partition methods</w:t>
      </w:r>
    </w:p>
    <w:p w14:paraId="504E72F3" w14:textId="7FFF077D" w:rsidR="00C9256D" w:rsidRDefault="00C9256D" w:rsidP="00C9256D">
      <w:r>
        <w:t xml:space="preserve">To compare the different partition methods we estimated the correlation between the </w:t>
      </w:r>
      <w:r>
        <w:rPr>
          <w:rFonts w:ascii="Symbol" w:eastAsia="Symbol" w:hAnsi="Symbol" w:cs="Symbol"/>
        </w:rPr>
        <w:t></w:t>
      </w:r>
      <w:r>
        <w:rPr>
          <w:vertAlign w:val="subscript"/>
        </w:rPr>
        <w:t>SES.MNTD</w:t>
      </w:r>
      <w:r>
        <w:t xml:space="preserve"> obtained in each site with each method and compared the number of sites classified in each trend (</w:t>
      </w:r>
      <w:r>
        <w:fldChar w:fldCharType="begin"/>
      </w:r>
      <w:r>
        <w:instrText>REF _Ref378693111 \h</w:instrText>
      </w:r>
      <w:r>
        <w:fldChar w:fldCharType="separate"/>
      </w:r>
      <w:r>
        <w:t>Table SI</w:t>
      </w:r>
      <w:r>
        <w:rPr>
          <w:noProof/>
        </w:rPr>
        <w:t>2</w:t>
      </w:r>
      <w:r>
        <w:fldChar w:fldCharType="end"/>
      </w:r>
      <w:r>
        <w:t>).</w:t>
      </w:r>
    </w:p>
    <w:p w14:paraId="54124C93" w14:textId="2821B45E" w:rsidR="00C9256D" w:rsidRDefault="00C9256D" w:rsidP="00C9256D">
      <w:pPr>
        <w:pStyle w:val="Caption"/>
        <w:keepNext/>
        <w:keepLines/>
      </w:pPr>
      <w:bookmarkStart w:id="6" w:name="_Ref378693111"/>
      <w:r>
        <w:t>Table SI</w:t>
      </w:r>
      <w:r>
        <w:fldChar w:fldCharType="begin"/>
      </w:r>
      <w:r>
        <w:instrText>SEQ Table_SI \* ARABIC</w:instrText>
      </w:r>
      <w:r>
        <w:fldChar w:fldCharType="separate"/>
      </w:r>
      <w:r>
        <w:rPr>
          <w:noProof/>
        </w:rPr>
        <w:t>2</w:t>
      </w:r>
      <w:r>
        <w:fldChar w:fldCharType="end"/>
      </w:r>
      <w:bookmarkEnd w:id="6"/>
      <w:r>
        <w:t xml:space="preserve">: Comparison between the different partition methods in terms of the trends in the partitions detected (a) and the correlation between </w:t>
      </w:r>
      <w:r>
        <w:rPr>
          <w:rFonts w:ascii="Symbol" w:eastAsia="Symbol" w:hAnsi="Symbol" w:cs="Symbol"/>
        </w:rPr>
        <w:t></w:t>
      </w:r>
      <w:r>
        <w:rPr>
          <w:vertAlign w:val="subscript"/>
        </w:rPr>
        <w:t>SES.MNTD</w:t>
      </w:r>
      <w:r>
        <w:t xml:space="preserve"> values (b). The dominants phylogenetic dispersion can </w:t>
      </w:r>
      <w:proofErr w:type="gramStart"/>
      <w:r>
        <w:t>either be lower, equal or higher than non-dominants (D &lt; ND, None, D &gt; ND)</w:t>
      </w:r>
      <w:proofErr w:type="gramEnd"/>
      <w:r>
        <w:t>. Two partition methods (thresholds and extremes) can also detect that a site has a dominant/non-dominant partition which is less than zero and another one that is more than zero simultaneously (Both). The numbers in the trends table (a) indicate the number of sites classified in each trend by each method. The numbers in the correlations table (b) indicate the Pearson’s correlation value (**: p-value &lt; 0.01, ***: p-value &lt; 0.001, n=75 sites).</w:t>
      </w:r>
    </w:p>
    <w:tbl>
      <w:tblPr>
        <w:tblW w:w="6352" w:type="dxa"/>
        <w:tblInd w:w="93" w:type="dxa"/>
        <w:tblBorders>
          <w:bottom w:val="single" w:sz="4" w:space="0" w:color="000000"/>
          <w:insideH w:val="single" w:sz="4" w:space="0" w:color="000000"/>
        </w:tblBorders>
        <w:tblLook w:val="04A0" w:firstRow="1" w:lastRow="0" w:firstColumn="1" w:lastColumn="0" w:noHBand="0" w:noVBand="1"/>
      </w:tblPr>
      <w:tblGrid>
        <w:gridCol w:w="1106"/>
        <w:gridCol w:w="1015"/>
        <w:gridCol w:w="1016"/>
        <w:gridCol w:w="1016"/>
        <w:gridCol w:w="1172"/>
        <w:gridCol w:w="1027"/>
      </w:tblGrid>
      <w:tr w:rsidR="00C9256D" w14:paraId="35F0C2CF" w14:textId="77777777" w:rsidTr="00F27C7C">
        <w:tc>
          <w:tcPr>
            <w:tcW w:w="1105" w:type="dxa"/>
            <w:tcBorders>
              <w:bottom w:val="single" w:sz="4" w:space="0" w:color="000000"/>
            </w:tcBorders>
            <w:shd w:val="clear" w:color="auto" w:fill="auto"/>
            <w:vAlign w:val="bottom"/>
          </w:tcPr>
          <w:p w14:paraId="5D108C86" w14:textId="77777777" w:rsidR="00C9256D" w:rsidRDefault="00C9256D" w:rsidP="00C9256D">
            <w:pPr>
              <w:pStyle w:val="tabletext"/>
              <w:jc w:val="left"/>
            </w:pPr>
            <w:r>
              <w:t>a. Trends</w:t>
            </w:r>
          </w:p>
        </w:tc>
        <w:tc>
          <w:tcPr>
            <w:tcW w:w="1015" w:type="dxa"/>
            <w:tcBorders>
              <w:bottom w:val="single" w:sz="4" w:space="0" w:color="000000"/>
            </w:tcBorders>
            <w:shd w:val="clear" w:color="auto" w:fill="auto"/>
            <w:vAlign w:val="bottom"/>
          </w:tcPr>
          <w:p w14:paraId="5EEBEAD0" w14:textId="77777777" w:rsidR="00C9256D" w:rsidRDefault="00C9256D" w:rsidP="00C9256D">
            <w:pPr>
              <w:pStyle w:val="tabletext"/>
            </w:pPr>
          </w:p>
        </w:tc>
        <w:tc>
          <w:tcPr>
            <w:tcW w:w="1016" w:type="dxa"/>
            <w:tcBorders>
              <w:bottom w:val="single" w:sz="4" w:space="0" w:color="000000"/>
            </w:tcBorders>
            <w:shd w:val="clear" w:color="auto" w:fill="auto"/>
            <w:vAlign w:val="bottom"/>
          </w:tcPr>
          <w:p w14:paraId="1B9C0A40" w14:textId="77777777" w:rsidR="00C9256D" w:rsidRDefault="00C9256D" w:rsidP="00C9256D">
            <w:pPr>
              <w:pStyle w:val="tabletext"/>
            </w:pPr>
          </w:p>
        </w:tc>
        <w:tc>
          <w:tcPr>
            <w:tcW w:w="1016" w:type="dxa"/>
            <w:tcBorders>
              <w:bottom w:val="single" w:sz="4" w:space="0" w:color="000000"/>
            </w:tcBorders>
            <w:shd w:val="clear" w:color="auto" w:fill="auto"/>
            <w:vAlign w:val="bottom"/>
          </w:tcPr>
          <w:p w14:paraId="4C42072D" w14:textId="77777777" w:rsidR="00C9256D" w:rsidRDefault="00C9256D" w:rsidP="00C9256D">
            <w:pPr>
              <w:pStyle w:val="tabletext"/>
            </w:pPr>
          </w:p>
        </w:tc>
        <w:tc>
          <w:tcPr>
            <w:tcW w:w="1172" w:type="dxa"/>
            <w:tcBorders>
              <w:bottom w:val="single" w:sz="4" w:space="0" w:color="000000"/>
            </w:tcBorders>
            <w:shd w:val="clear" w:color="auto" w:fill="auto"/>
            <w:vAlign w:val="bottom"/>
          </w:tcPr>
          <w:p w14:paraId="1C1A1F98" w14:textId="77777777" w:rsidR="00C9256D" w:rsidRDefault="00C9256D" w:rsidP="00C9256D">
            <w:pPr>
              <w:pStyle w:val="tabletext"/>
            </w:pPr>
          </w:p>
        </w:tc>
        <w:tc>
          <w:tcPr>
            <w:tcW w:w="1027" w:type="dxa"/>
            <w:tcBorders>
              <w:bottom w:val="single" w:sz="4" w:space="0" w:color="000000"/>
            </w:tcBorders>
            <w:shd w:val="clear" w:color="auto" w:fill="auto"/>
            <w:vAlign w:val="bottom"/>
          </w:tcPr>
          <w:p w14:paraId="313AC051" w14:textId="77777777" w:rsidR="00C9256D" w:rsidRDefault="00C9256D" w:rsidP="00C9256D">
            <w:pPr>
              <w:pStyle w:val="tabletext"/>
            </w:pPr>
          </w:p>
        </w:tc>
      </w:tr>
      <w:tr w:rsidR="00C9256D" w14:paraId="504083A9" w14:textId="77777777" w:rsidTr="00F27C7C">
        <w:tc>
          <w:tcPr>
            <w:tcW w:w="1105" w:type="dxa"/>
            <w:tcBorders>
              <w:top w:val="single" w:sz="4" w:space="0" w:color="000000"/>
              <w:bottom w:val="single" w:sz="4" w:space="0" w:color="000000"/>
            </w:tcBorders>
            <w:shd w:val="clear" w:color="auto" w:fill="auto"/>
            <w:vAlign w:val="bottom"/>
          </w:tcPr>
          <w:p w14:paraId="706E61CD" w14:textId="77777777" w:rsidR="00C9256D" w:rsidRDefault="00C9256D" w:rsidP="00C9256D">
            <w:pPr>
              <w:pStyle w:val="tabletext"/>
              <w:jc w:val="left"/>
              <w:rPr>
                <w:b/>
              </w:rPr>
            </w:pPr>
          </w:p>
        </w:tc>
        <w:tc>
          <w:tcPr>
            <w:tcW w:w="1015" w:type="dxa"/>
            <w:tcBorders>
              <w:top w:val="single" w:sz="4" w:space="0" w:color="000000"/>
              <w:bottom w:val="single" w:sz="4" w:space="0" w:color="000000"/>
            </w:tcBorders>
            <w:shd w:val="clear" w:color="auto" w:fill="auto"/>
            <w:vAlign w:val="bottom"/>
          </w:tcPr>
          <w:p w14:paraId="55AAF72C" w14:textId="77777777" w:rsidR="00C9256D" w:rsidRDefault="00C9256D" w:rsidP="00C9256D">
            <w:pPr>
              <w:pStyle w:val="tabletext"/>
              <w:rPr>
                <w:b/>
              </w:rPr>
            </w:pPr>
            <w:r>
              <w:rPr>
                <w:b/>
              </w:rPr>
              <w:t>Eq.rich3</w:t>
            </w:r>
          </w:p>
        </w:tc>
        <w:tc>
          <w:tcPr>
            <w:tcW w:w="1016" w:type="dxa"/>
            <w:tcBorders>
              <w:top w:val="single" w:sz="4" w:space="0" w:color="000000"/>
              <w:bottom w:val="single" w:sz="4" w:space="0" w:color="000000"/>
            </w:tcBorders>
            <w:shd w:val="clear" w:color="auto" w:fill="auto"/>
            <w:vAlign w:val="bottom"/>
          </w:tcPr>
          <w:p w14:paraId="1AD93D03" w14:textId="77777777" w:rsidR="00C9256D" w:rsidRDefault="00C9256D" w:rsidP="00C9256D">
            <w:pPr>
              <w:pStyle w:val="tabletext"/>
              <w:rPr>
                <w:b/>
              </w:rPr>
            </w:pPr>
            <w:r>
              <w:rPr>
                <w:b/>
              </w:rPr>
              <w:t>Eq.rich2</w:t>
            </w:r>
          </w:p>
        </w:tc>
        <w:tc>
          <w:tcPr>
            <w:tcW w:w="1016" w:type="dxa"/>
            <w:tcBorders>
              <w:top w:val="single" w:sz="4" w:space="0" w:color="000000"/>
              <w:bottom w:val="single" w:sz="4" w:space="0" w:color="000000"/>
            </w:tcBorders>
            <w:shd w:val="clear" w:color="auto" w:fill="auto"/>
            <w:vAlign w:val="bottom"/>
          </w:tcPr>
          <w:p w14:paraId="1B065064" w14:textId="77777777" w:rsidR="00C9256D" w:rsidRDefault="00C9256D" w:rsidP="00C9256D">
            <w:pPr>
              <w:pStyle w:val="tabletext"/>
              <w:rPr>
                <w:b/>
              </w:rPr>
            </w:pPr>
            <w:r>
              <w:rPr>
                <w:b/>
              </w:rPr>
              <w:t>Jenks</w:t>
            </w:r>
          </w:p>
        </w:tc>
        <w:tc>
          <w:tcPr>
            <w:tcW w:w="1172" w:type="dxa"/>
            <w:tcBorders>
              <w:top w:val="single" w:sz="4" w:space="0" w:color="000000"/>
              <w:bottom w:val="single" w:sz="4" w:space="0" w:color="000000"/>
            </w:tcBorders>
            <w:shd w:val="clear" w:color="auto" w:fill="auto"/>
            <w:vAlign w:val="bottom"/>
          </w:tcPr>
          <w:p w14:paraId="5C46DDEC" w14:textId="77777777" w:rsidR="00C9256D" w:rsidRDefault="00C9256D" w:rsidP="00C9256D">
            <w:pPr>
              <w:pStyle w:val="tabletext"/>
              <w:rPr>
                <w:b/>
              </w:rPr>
            </w:pPr>
            <w:r>
              <w:rPr>
                <w:b/>
              </w:rPr>
              <w:t>Thresholds</w:t>
            </w:r>
          </w:p>
        </w:tc>
        <w:tc>
          <w:tcPr>
            <w:tcW w:w="1027" w:type="dxa"/>
            <w:tcBorders>
              <w:top w:val="single" w:sz="4" w:space="0" w:color="000000"/>
              <w:bottom w:val="single" w:sz="4" w:space="0" w:color="000000"/>
            </w:tcBorders>
            <w:shd w:val="clear" w:color="auto" w:fill="auto"/>
            <w:vAlign w:val="bottom"/>
          </w:tcPr>
          <w:p w14:paraId="25BC9F85" w14:textId="77777777" w:rsidR="00C9256D" w:rsidRDefault="00C9256D" w:rsidP="00C9256D">
            <w:pPr>
              <w:pStyle w:val="tabletext"/>
              <w:rPr>
                <w:b/>
              </w:rPr>
            </w:pPr>
            <w:r>
              <w:rPr>
                <w:b/>
              </w:rPr>
              <w:t>Extremes</w:t>
            </w:r>
          </w:p>
        </w:tc>
      </w:tr>
      <w:tr w:rsidR="00C9256D" w14:paraId="040D6361" w14:textId="77777777" w:rsidTr="00F27C7C">
        <w:tc>
          <w:tcPr>
            <w:tcW w:w="1105" w:type="dxa"/>
            <w:tcBorders>
              <w:top w:val="single" w:sz="4" w:space="0" w:color="000000"/>
            </w:tcBorders>
            <w:shd w:val="clear" w:color="auto" w:fill="auto"/>
            <w:vAlign w:val="bottom"/>
          </w:tcPr>
          <w:p w14:paraId="5607DC22" w14:textId="77777777" w:rsidR="00C9256D" w:rsidRDefault="00C9256D" w:rsidP="00C9256D">
            <w:pPr>
              <w:pStyle w:val="tabletext"/>
              <w:jc w:val="left"/>
            </w:pPr>
            <w:r>
              <w:t>Both</w:t>
            </w:r>
          </w:p>
        </w:tc>
        <w:tc>
          <w:tcPr>
            <w:tcW w:w="1015" w:type="dxa"/>
            <w:tcBorders>
              <w:top w:val="single" w:sz="4" w:space="0" w:color="000000"/>
            </w:tcBorders>
            <w:shd w:val="clear" w:color="auto" w:fill="auto"/>
            <w:vAlign w:val="bottom"/>
          </w:tcPr>
          <w:p w14:paraId="0694FA38" w14:textId="77777777" w:rsidR="00C9256D" w:rsidRDefault="00C9256D" w:rsidP="00C9256D">
            <w:pPr>
              <w:pStyle w:val="tabletext"/>
            </w:pPr>
          </w:p>
        </w:tc>
        <w:tc>
          <w:tcPr>
            <w:tcW w:w="1016" w:type="dxa"/>
            <w:tcBorders>
              <w:top w:val="single" w:sz="4" w:space="0" w:color="000000"/>
            </w:tcBorders>
            <w:shd w:val="clear" w:color="auto" w:fill="auto"/>
            <w:vAlign w:val="bottom"/>
          </w:tcPr>
          <w:p w14:paraId="1C4FDF1B" w14:textId="77777777" w:rsidR="00C9256D" w:rsidRDefault="00C9256D" w:rsidP="00C9256D">
            <w:pPr>
              <w:pStyle w:val="tabletext"/>
            </w:pPr>
          </w:p>
        </w:tc>
        <w:tc>
          <w:tcPr>
            <w:tcW w:w="1016" w:type="dxa"/>
            <w:tcBorders>
              <w:top w:val="single" w:sz="4" w:space="0" w:color="000000"/>
            </w:tcBorders>
            <w:shd w:val="clear" w:color="auto" w:fill="auto"/>
            <w:vAlign w:val="bottom"/>
          </w:tcPr>
          <w:p w14:paraId="3F2EE174" w14:textId="77777777" w:rsidR="00C9256D" w:rsidRDefault="00C9256D" w:rsidP="00C9256D">
            <w:pPr>
              <w:pStyle w:val="tabletext"/>
            </w:pPr>
          </w:p>
        </w:tc>
        <w:tc>
          <w:tcPr>
            <w:tcW w:w="1172" w:type="dxa"/>
            <w:tcBorders>
              <w:top w:val="single" w:sz="4" w:space="0" w:color="000000"/>
            </w:tcBorders>
            <w:shd w:val="clear" w:color="auto" w:fill="auto"/>
            <w:vAlign w:val="bottom"/>
          </w:tcPr>
          <w:p w14:paraId="048C0665" w14:textId="77777777" w:rsidR="00C9256D" w:rsidRDefault="00C9256D" w:rsidP="00C9256D">
            <w:pPr>
              <w:pStyle w:val="tabletext"/>
            </w:pPr>
          </w:p>
        </w:tc>
        <w:tc>
          <w:tcPr>
            <w:tcW w:w="1027" w:type="dxa"/>
            <w:tcBorders>
              <w:top w:val="single" w:sz="4" w:space="0" w:color="000000"/>
            </w:tcBorders>
            <w:shd w:val="clear" w:color="auto" w:fill="auto"/>
            <w:vAlign w:val="bottom"/>
          </w:tcPr>
          <w:p w14:paraId="0ADE0FB6" w14:textId="77777777" w:rsidR="00C9256D" w:rsidRDefault="00C9256D" w:rsidP="00C9256D">
            <w:pPr>
              <w:pStyle w:val="tabletext"/>
            </w:pPr>
            <w:r>
              <w:t>2</w:t>
            </w:r>
          </w:p>
        </w:tc>
      </w:tr>
      <w:tr w:rsidR="00C9256D" w14:paraId="5897A26D" w14:textId="77777777" w:rsidTr="00F27C7C">
        <w:tc>
          <w:tcPr>
            <w:tcW w:w="1105" w:type="dxa"/>
            <w:shd w:val="clear" w:color="auto" w:fill="auto"/>
            <w:vAlign w:val="bottom"/>
          </w:tcPr>
          <w:p w14:paraId="10AA44CD" w14:textId="77777777" w:rsidR="00C9256D" w:rsidRDefault="00C9256D" w:rsidP="00C9256D">
            <w:pPr>
              <w:pStyle w:val="tabletext"/>
              <w:jc w:val="left"/>
            </w:pPr>
            <w:r>
              <w:t>D&lt;ND</w:t>
            </w:r>
          </w:p>
        </w:tc>
        <w:tc>
          <w:tcPr>
            <w:tcW w:w="1015" w:type="dxa"/>
            <w:shd w:val="clear" w:color="auto" w:fill="auto"/>
            <w:vAlign w:val="bottom"/>
          </w:tcPr>
          <w:p w14:paraId="6F1E27AA" w14:textId="77777777" w:rsidR="00C9256D" w:rsidRDefault="00C9256D" w:rsidP="00C9256D">
            <w:pPr>
              <w:pStyle w:val="tabletext"/>
            </w:pPr>
            <w:r>
              <w:t>16</w:t>
            </w:r>
          </w:p>
        </w:tc>
        <w:tc>
          <w:tcPr>
            <w:tcW w:w="1016" w:type="dxa"/>
            <w:shd w:val="clear" w:color="auto" w:fill="auto"/>
            <w:vAlign w:val="bottom"/>
          </w:tcPr>
          <w:p w14:paraId="72E491A0" w14:textId="77777777" w:rsidR="00C9256D" w:rsidRDefault="00C9256D" w:rsidP="00C9256D">
            <w:pPr>
              <w:pStyle w:val="tabletext"/>
            </w:pPr>
            <w:r>
              <w:t>20</w:t>
            </w:r>
          </w:p>
        </w:tc>
        <w:tc>
          <w:tcPr>
            <w:tcW w:w="1016" w:type="dxa"/>
            <w:shd w:val="clear" w:color="auto" w:fill="auto"/>
            <w:vAlign w:val="bottom"/>
          </w:tcPr>
          <w:p w14:paraId="45B3A47B" w14:textId="77777777" w:rsidR="00C9256D" w:rsidRDefault="00C9256D" w:rsidP="00C9256D">
            <w:pPr>
              <w:pStyle w:val="tabletext"/>
            </w:pPr>
            <w:r>
              <w:t>16</w:t>
            </w:r>
          </w:p>
        </w:tc>
        <w:tc>
          <w:tcPr>
            <w:tcW w:w="1172" w:type="dxa"/>
            <w:shd w:val="clear" w:color="auto" w:fill="auto"/>
            <w:vAlign w:val="bottom"/>
          </w:tcPr>
          <w:p w14:paraId="17B9D82E" w14:textId="77777777" w:rsidR="00C9256D" w:rsidRDefault="00C9256D" w:rsidP="00C9256D">
            <w:pPr>
              <w:pStyle w:val="tabletext"/>
            </w:pPr>
            <w:r>
              <w:t>35</w:t>
            </w:r>
          </w:p>
        </w:tc>
        <w:tc>
          <w:tcPr>
            <w:tcW w:w="1027" w:type="dxa"/>
            <w:shd w:val="clear" w:color="auto" w:fill="auto"/>
            <w:vAlign w:val="bottom"/>
          </w:tcPr>
          <w:p w14:paraId="4FA719DA" w14:textId="77777777" w:rsidR="00C9256D" w:rsidRDefault="00C9256D" w:rsidP="00C9256D">
            <w:pPr>
              <w:pStyle w:val="tabletext"/>
            </w:pPr>
            <w:r>
              <w:t>52</w:t>
            </w:r>
          </w:p>
        </w:tc>
      </w:tr>
      <w:tr w:rsidR="00C9256D" w14:paraId="3349FE46" w14:textId="77777777" w:rsidTr="00F27C7C">
        <w:tc>
          <w:tcPr>
            <w:tcW w:w="1105" w:type="dxa"/>
            <w:shd w:val="clear" w:color="auto" w:fill="auto"/>
            <w:vAlign w:val="bottom"/>
          </w:tcPr>
          <w:p w14:paraId="4C3F0E75" w14:textId="77777777" w:rsidR="00C9256D" w:rsidRDefault="00C9256D" w:rsidP="00C9256D">
            <w:pPr>
              <w:pStyle w:val="tabletext"/>
              <w:jc w:val="left"/>
            </w:pPr>
            <w:r>
              <w:t>D&gt;ND</w:t>
            </w:r>
          </w:p>
        </w:tc>
        <w:tc>
          <w:tcPr>
            <w:tcW w:w="1015" w:type="dxa"/>
            <w:shd w:val="clear" w:color="auto" w:fill="auto"/>
            <w:vAlign w:val="bottom"/>
          </w:tcPr>
          <w:p w14:paraId="2A1A76B2" w14:textId="77777777" w:rsidR="00C9256D" w:rsidRDefault="00C9256D" w:rsidP="00C9256D">
            <w:pPr>
              <w:pStyle w:val="tabletext"/>
            </w:pPr>
          </w:p>
        </w:tc>
        <w:tc>
          <w:tcPr>
            <w:tcW w:w="1016" w:type="dxa"/>
            <w:shd w:val="clear" w:color="auto" w:fill="auto"/>
            <w:vAlign w:val="bottom"/>
          </w:tcPr>
          <w:p w14:paraId="54485C7C" w14:textId="77777777" w:rsidR="00C9256D" w:rsidRDefault="00C9256D" w:rsidP="00C9256D">
            <w:pPr>
              <w:pStyle w:val="tabletext"/>
            </w:pPr>
            <w:r>
              <w:t>2</w:t>
            </w:r>
          </w:p>
        </w:tc>
        <w:tc>
          <w:tcPr>
            <w:tcW w:w="1016" w:type="dxa"/>
            <w:shd w:val="clear" w:color="auto" w:fill="auto"/>
            <w:vAlign w:val="bottom"/>
          </w:tcPr>
          <w:p w14:paraId="7710E85F" w14:textId="77777777" w:rsidR="00C9256D" w:rsidRDefault="00C9256D" w:rsidP="00C9256D">
            <w:pPr>
              <w:pStyle w:val="tabletext"/>
            </w:pPr>
          </w:p>
        </w:tc>
        <w:tc>
          <w:tcPr>
            <w:tcW w:w="1172" w:type="dxa"/>
            <w:shd w:val="clear" w:color="auto" w:fill="auto"/>
            <w:vAlign w:val="bottom"/>
          </w:tcPr>
          <w:p w14:paraId="5EAF70DB" w14:textId="77777777" w:rsidR="00C9256D" w:rsidRDefault="00C9256D" w:rsidP="00C9256D">
            <w:pPr>
              <w:pStyle w:val="tabletext"/>
            </w:pPr>
            <w:r>
              <w:t>6</w:t>
            </w:r>
          </w:p>
        </w:tc>
        <w:tc>
          <w:tcPr>
            <w:tcW w:w="1027" w:type="dxa"/>
            <w:shd w:val="clear" w:color="auto" w:fill="auto"/>
            <w:vAlign w:val="bottom"/>
          </w:tcPr>
          <w:p w14:paraId="0B897494" w14:textId="77777777" w:rsidR="00C9256D" w:rsidRDefault="00C9256D" w:rsidP="00C9256D">
            <w:pPr>
              <w:pStyle w:val="tabletext"/>
            </w:pPr>
            <w:r>
              <w:t>9</w:t>
            </w:r>
          </w:p>
        </w:tc>
      </w:tr>
      <w:tr w:rsidR="00C9256D" w14:paraId="2EF1CB84" w14:textId="77777777" w:rsidTr="00F27C7C">
        <w:tc>
          <w:tcPr>
            <w:tcW w:w="1105" w:type="dxa"/>
            <w:tcBorders>
              <w:bottom w:val="single" w:sz="4" w:space="0" w:color="000000"/>
            </w:tcBorders>
            <w:shd w:val="clear" w:color="auto" w:fill="auto"/>
            <w:vAlign w:val="bottom"/>
          </w:tcPr>
          <w:p w14:paraId="38AC9939" w14:textId="77777777" w:rsidR="00C9256D" w:rsidRDefault="00C9256D" w:rsidP="00C9256D">
            <w:pPr>
              <w:pStyle w:val="tabletext"/>
              <w:jc w:val="left"/>
            </w:pPr>
            <w:r>
              <w:t>None</w:t>
            </w:r>
          </w:p>
        </w:tc>
        <w:tc>
          <w:tcPr>
            <w:tcW w:w="1015" w:type="dxa"/>
            <w:tcBorders>
              <w:bottom w:val="single" w:sz="4" w:space="0" w:color="000000"/>
            </w:tcBorders>
            <w:shd w:val="clear" w:color="auto" w:fill="auto"/>
            <w:vAlign w:val="bottom"/>
          </w:tcPr>
          <w:p w14:paraId="507EF8B9" w14:textId="77777777" w:rsidR="00C9256D" w:rsidRDefault="00C9256D" w:rsidP="00C9256D">
            <w:pPr>
              <w:pStyle w:val="tabletext"/>
            </w:pPr>
            <w:r>
              <w:t>62</w:t>
            </w:r>
          </w:p>
        </w:tc>
        <w:tc>
          <w:tcPr>
            <w:tcW w:w="1016" w:type="dxa"/>
            <w:tcBorders>
              <w:bottom w:val="single" w:sz="4" w:space="0" w:color="000000"/>
            </w:tcBorders>
            <w:shd w:val="clear" w:color="auto" w:fill="auto"/>
            <w:vAlign w:val="bottom"/>
          </w:tcPr>
          <w:p w14:paraId="3218A2F4" w14:textId="77777777" w:rsidR="00C9256D" w:rsidRDefault="00C9256D" w:rsidP="00C9256D">
            <w:pPr>
              <w:pStyle w:val="tabletext"/>
            </w:pPr>
            <w:r>
              <w:t>56</w:t>
            </w:r>
          </w:p>
        </w:tc>
        <w:tc>
          <w:tcPr>
            <w:tcW w:w="1016" w:type="dxa"/>
            <w:tcBorders>
              <w:bottom w:val="single" w:sz="4" w:space="0" w:color="000000"/>
            </w:tcBorders>
            <w:shd w:val="clear" w:color="auto" w:fill="auto"/>
            <w:vAlign w:val="bottom"/>
          </w:tcPr>
          <w:p w14:paraId="76304AFF" w14:textId="77777777" w:rsidR="00C9256D" w:rsidRDefault="00C9256D" w:rsidP="00C9256D">
            <w:pPr>
              <w:pStyle w:val="tabletext"/>
            </w:pPr>
            <w:r>
              <w:t>62</w:t>
            </w:r>
          </w:p>
        </w:tc>
        <w:tc>
          <w:tcPr>
            <w:tcW w:w="1172" w:type="dxa"/>
            <w:tcBorders>
              <w:bottom w:val="single" w:sz="4" w:space="0" w:color="000000"/>
            </w:tcBorders>
            <w:shd w:val="clear" w:color="auto" w:fill="auto"/>
            <w:vAlign w:val="bottom"/>
          </w:tcPr>
          <w:p w14:paraId="35BA091B" w14:textId="77777777" w:rsidR="00C9256D" w:rsidRDefault="00C9256D" w:rsidP="00C9256D">
            <w:pPr>
              <w:pStyle w:val="tabletext"/>
            </w:pPr>
            <w:r>
              <w:t>37</w:t>
            </w:r>
          </w:p>
        </w:tc>
        <w:tc>
          <w:tcPr>
            <w:tcW w:w="1027" w:type="dxa"/>
            <w:tcBorders>
              <w:bottom w:val="single" w:sz="4" w:space="0" w:color="000000"/>
            </w:tcBorders>
            <w:shd w:val="clear" w:color="auto" w:fill="auto"/>
            <w:vAlign w:val="bottom"/>
          </w:tcPr>
          <w:p w14:paraId="3CFC1D03" w14:textId="77777777" w:rsidR="00C9256D" w:rsidRDefault="00C9256D" w:rsidP="00C9256D">
            <w:pPr>
              <w:pStyle w:val="tabletext"/>
            </w:pPr>
            <w:r>
              <w:t>15</w:t>
            </w:r>
          </w:p>
        </w:tc>
      </w:tr>
      <w:tr w:rsidR="00C9256D" w14:paraId="284847C5" w14:textId="77777777" w:rsidTr="00F27C7C">
        <w:tc>
          <w:tcPr>
            <w:tcW w:w="1105" w:type="dxa"/>
            <w:tcBorders>
              <w:top w:val="single" w:sz="4" w:space="0" w:color="000000"/>
            </w:tcBorders>
            <w:shd w:val="clear" w:color="auto" w:fill="auto"/>
            <w:vAlign w:val="bottom"/>
          </w:tcPr>
          <w:p w14:paraId="0D194F1D" w14:textId="77777777" w:rsidR="00C9256D" w:rsidRDefault="00C9256D" w:rsidP="00C9256D">
            <w:pPr>
              <w:pStyle w:val="tabletext"/>
              <w:jc w:val="left"/>
            </w:pPr>
          </w:p>
        </w:tc>
        <w:tc>
          <w:tcPr>
            <w:tcW w:w="1015" w:type="dxa"/>
            <w:tcBorders>
              <w:top w:val="single" w:sz="4" w:space="0" w:color="000000"/>
            </w:tcBorders>
            <w:shd w:val="clear" w:color="auto" w:fill="auto"/>
            <w:vAlign w:val="bottom"/>
          </w:tcPr>
          <w:p w14:paraId="1EFCBBF1" w14:textId="77777777" w:rsidR="00C9256D" w:rsidRDefault="00C9256D" w:rsidP="00C9256D">
            <w:pPr>
              <w:pStyle w:val="tabletext"/>
            </w:pPr>
          </w:p>
        </w:tc>
        <w:tc>
          <w:tcPr>
            <w:tcW w:w="1016" w:type="dxa"/>
            <w:tcBorders>
              <w:top w:val="single" w:sz="4" w:space="0" w:color="000000"/>
            </w:tcBorders>
            <w:shd w:val="clear" w:color="auto" w:fill="auto"/>
            <w:vAlign w:val="bottom"/>
          </w:tcPr>
          <w:p w14:paraId="60C2CD10" w14:textId="77777777" w:rsidR="00C9256D" w:rsidRDefault="00C9256D" w:rsidP="00C9256D">
            <w:pPr>
              <w:pStyle w:val="tabletext"/>
            </w:pPr>
          </w:p>
        </w:tc>
        <w:tc>
          <w:tcPr>
            <w:tcW w:w="1016" w:type="dxa"/>
            <w:tcBorders>
              <w:top w:val="single" w:sz="4" w:space="0" w:color="000000"/>
            </w:tcBorders>
            <w:shd w:val="clear" w:color="auto" w:fill="auto"/>
            <w:vAlign w:val="bottom"/>
          </w:tcPr>
          <w:p w14:paraId="2C41C7B7" w14:textId="77777777" w:rsidR="00C9256D" w:rsidRDefault="00C9256D" w:rsidP="00C9256D">
            <w:pPr>
              <w:pStyle w:val="tabletext"/>
            </w:pPr>
          </w:p>
        </w:tc>
        <w:tc>
          <w:tcPr>
            <w:tcW w:w="1172" w:type="dxa"/>
            <w:tcBorders>
              <w:top w:val="single" w:sz="4" w:space="0" w:color="000000"/>
            </w:tcBorders>
            <w:shd w:val="clear" w:color="auto" w:fill="auto"/>
            <w:vAlign w:val="bottom"/>
          </w:tcPr>
          <w:p w14:paraId="72977658" w14:textId="77777777" w:rsidR="00C9256D" w:rsidRDefault="00C9256D" w:rsidP="00C9256D">
            <w:pPr>
              <w:pStyle w:val="tabletext"/>
            </w:pPr>
          </w:p>
        </w:tc>
        <w:tc>
          <w:tcPr>
            <w:tcW w:w="1027" w:type="dxa"/>
            <w:tcBorders>
              <w:top w:val="single" w:sz="4" w:space="0" w:color="000000"/>
            </w:tcBorders>
            <w:shd w:val="clear" w:color="auto" w:fill="auto"/>
            <w:vAlign w:val="bottom"/>
          </w:tcPr>
          <w:p w14:paraId="37A3F705" w14:textId="77777777" w:rsidR="00C9256D" w:rsidRDefault="00C9256D" w:rsidP="00C9256D">
            <w:pPr>
              <w:pStyle w:val="tabletext"/>
            </w:pPr>
          </w:p>
        </w:tc>
      </w:tr>
      <w:tr w:rsidR="00C9256D" w14:paraId="3727E796" w14:textId="77777777" w:rsidTr="00F27C7C">
        <w:tc>
          <w:tcPr>
            <w:tcW w:w="6351" w:type="dxa"/>
            <w:gridSpan w:val="6"/>
            <w:tcBorders>
              <w:bottom w:val="single" w:sz="4" w:space="0" w:color="000000"/>
            </w:tcBorders>
            <w:shd w:val="clear" w:color="auto" w:fill="auto"/>
            <w:vAlign w:val="bottom"/>
          </w:tcPr>
          <w:p w14:paraId="77F618F2" w14:textId="77777777" w:rsidR="00C9256D" w:rsidRDefault="00C9256D" w:rsidP="00C9256D">
            <w:pPr>
              <w:pStyle w:val="tabletext"/>
              <w:jc w:val="left"/>
            </w:pPr>
            <w:r>
              <w:t>b. Correlations</w:t>
            </w:r>
          </w:p>
        </w:tc>
      </w:tr>
      <w:tr w:rsidR="00C9256D" w14:paraId="3852C917" w14:textId="77777777" w:rsidTr="00F27C7C">
        <w:tc>
          <w:tcPr>
            <w:tcW w:w="1105" w:type="dxa"/>
            <w:tcBorders>
              <w:top w:val="single" w:sz="4" w:space="0" w:color="000000"/>
              <w:bottom w:val="single" w:sz="4" w:space="0" w:color="000000"/>
            </w:tcBorders>
            <w:shd w:val="clear" w:color="auto" w:fill="auto"/>
            <w:vAlign w:val="bottom"/>
          </w:tcPr>
          <w:p w14:paraId="10EC4015" w14:textId="77777777" w:rsidR="00C9256D" w:rsidRDefault="00C9256D" w:rsidP="00C9256D">
            <w:pPr>
              <w:pStyle w:val="tabletext"/>
              <w:jc w:val="left"/>
            </w:pPr>
          </w:p>
        </w:tc>
        <w:tc>
          <w:tcPr>
            <w:tcW w:w="1015" w:type="dxa"/>
            <w:tcBorders>
              <w:top w:val="single" w:sz="4" w:space="0" w:color="000000"/>
              <w:bottom w:val="single" w:sz="4" w:space="0" w:color="000000"/>
            </w:tcBorders>
            <w:shd w:val="clear" w:color="auto" w:fill="auto"/>
            <w:vAlign w:val="bottom"/>
          </w:tcPr>
          <w:p w14:paraId="52633042" w14:textId="77777777" w:rsidR="00C9256D" w:rsidRDefault="00C9256D" w:rsidP="00C9256D">
            <w:pPr>
              <w:pStyle w:val="tabletext"/>
            </w:pPr>
            <w:r>
              <w:rPr>
                <w:b/>
              </w:rPr>
              <w:t>Eq.rich3</w:t>
            </w:r>
          </w:p>
        </w:tc>
        <w:tc>
          <w:tcPr>
            <w:tcW w:w="1016" w:type="dxa"/>
            <w:tcBorders>
              <w:top w:val="single" w:sz="4" w:space="0" w:color="000000"/>
              <w:bottom w:val="single" w:sz="4" w:space="0" w:color="000000"/>
            </w:tcBorders>
            <w:shd w:val="clear" w:color="auto" w:fill="auto"/>
            <w:vAlign w:val="bottom"/>
          </w:tcPr>
          <w:p w14:paraId="423F2A85" w14:textId="77777777" w:rsidR="00C9256D" w:rsidRDefault="00C9256D" w:rsidP="00C9256D">
            <w:pPr>
              <w:pStyle w:val="tabletext"/>
            </w:pPr>
            <w:r>
              <w:rPr>
                <w:b/>
              </w:rPr>
              <w:t>Eq.rich2</w:t>
            </w:r>
          </w:p>
        </w:tc>
        <w:tc>
          <w:tcPr>
            <w:tcW w:w="1016" w:type="dxa"/>
            <w:tcBorders>
              <w:top w:val="single" w:sz="4" w:space="0" w:color="000000"/>
              <w:bottom w:val="single" w:sz="4" w:space="0" w:color="000000"/>
            </w:tcBorders>
            <w:shd w:val="clear" w:color="auto" w:fill="auto"/>
            <w:vAlign w:val="bottom"/>
          </w:tcPr>
          <w:p w14:paraId="0C4F024B" w14:textId="77777777" w:rsidR="00C9256D" w:rsidRDefault="00C9256D" w:rsidP="00C9256D">
            <w:pPr>
              <w:pStyle w:val="tabletext"/>
            </w:pPr>
            <w:r>
              <w:rPr>
                <w:b/>
              </w:rPr>
              <w:t>Jenks</w:t>
            </w:r>
          </w:p>
        </w:tc>
        <w:tc>
          <w:tcPr>
            <w:tcW w:w="1172" w:type="dxa"/>
            <w:tcBorders>
              <w:top w:val="single" w:sz="4" w:space="0" w:color="000000"/>
              <w:bottom w:val="single" w:sz="4" w:space="0" w:color="000000"/>
            </w:tcBorders>
            <w:shd w:val="clear" w:color="auto" w:fill="auto"/>
            <w:vAlign w:val="bottom"/>
          </w:tcPr>
          <w:p w14:paraId="4E179FC8" w14:textId="77777777" w:rsidR="00C9256D" w:rsidRDefault="00C9256D" w:rsidP="00C9256D">
            <w:pPr>
              <w:pStyle w:val="tabletext"/>
            </w:pPr>
            <w:r>
              <w:rPr>
                <w:b/>
              </w:rPr>
              <w:t>Thresholds</w:t>
            </w:r>
          </w:p>
        </w:tc>
        <w:tc>
          <w:tcPr>
            <w:tcW w:w="1027" w:type="dxa"/>
            <w:tcBorders>
              <w:top w:val="single" w:sz="4" w:space="0" w:color="000000"/>
              <w:bottom w:val="single" w:sz="4" w:space="0" w:color="000000"/>
            </w:tcBorders>
            <w:shd w:val="clear" w:color="auto" w:fill="auto"/>
            <w:vAlign w:val="bottom"/>
          </w:tcPr>
          <w:p w14:paraId="7B599FC2" w14:textId="77777777" w:rsidR="00C9256D" w:rsidRDefault="00C9256D" w:rsidP="00C9256D">
            <w:pPr>
              <w:pStyle w:val="tabletext"/>
            </w:pPr>
            <w:r>
              <w:rPr>
                <w:b/>
              </w:rPr>
              <w:t>Extremes</w:t>
            </w:r>
          </w:p>
        </w:tc>
      </w:tr>
      <w:tr w:rsidR="00C9256D" w14:paraId="767A8B9F" w14:textId="77777777" w:rsidTr="00F27C7C">
        <w:tc>
          <w:tcPr>
            <w:tcW w:w="1105" w:type="dxa"/>
            <w:tcBorders>
              <w:top w:val="single" w:sz="4" w:space="0" w:color="000000"/>
            </w:tcBorders>
            <w:shd w:val="clear" w:color="auto" w:fill="auto"/>
            <w:vAlign w:val="bottom"/>
          </w:tcPr>
          <w:p w14:paraId="5AF95BAF" w14:textId="77777777" w:rsidR="00C9256D" w:rsidRDefault="00C9256D" w:rsidP="00C9256D">
            <w:pPr>
              <w:pStyle w:val="tabletext"/>
              <w:jc w:val="left"/>
            </w:pPr>
          </w:p>
        </w:tc>
        <w:tc>
          <w:tcPr>
            <w:tcW w:w="1015" w:type="dxa"/>
            <w:tcBorders>
              <w:top w:val="single" w:sz="4" w:space="0" w:color="000000"/>
            </w:tcBorders>
            <w:shd w:val="clear" w:color="auto" w:fill="auto"/>
            <w:vAlign w:val="bottom"/>
          </w:tcPr>
          <w:p w14:paraId="2B3F2ABB" w14:textId="77777777" w:rsidR="00C9256D" w:rsidRDefault="00C9256D" w:rsidP="00C9256D">
            <w:pPr>
              <w:pStyle w:val="tabletext"/>
            </w:pPr>
          </w:p>
        </w:tc>
        <w:tc>
          <w:tcPr>
            <w:tcW w:w="1016" w:type="dxa"/>
            <w:tcBorders>
              <w:top w:val="single" w:sz="4" w:space="0" w:color="000000"/>
            </w:tcBorders>
            <w:shd w:val="clear" w:color="auto" w:fill="auto"/>
            <w:vAlign w:val="bottom"/>
          </w:tcPr>
          <w:p w14:paraId="31571FD3" w14:textId="77777777" w:rsidR="00C9256D" w:rsidRDefault="00C9256D" w:rsidP="00C9256D">
            <w:pPr>
              <w:pStyle w:val="tabletext"/>
            </w:pPr>
          </w:p>
        </w:tc>
        <w:tc>
          <w:tcPr>
            <w:tcW w:w="1016" w:type="dxa"/>
            <w:tcBorders>
              <w:top w:val="single" w:sz="4" w:space="0" w:color="000000"/>
            </w:tcBorders>
            <w:shd w:val="clear" w:color="auto" w:fill="auto"/>
            <w:vAlign w:val="bottom"/>
          </w:tcPr>
          <w:p w14:paraId="766CBDF6" w14:textId="77777777" w:rsidR="00C9256D" w:rsidRDefault="00C9256D" w:rsidP="00C9256D">
            <w:pPr>
              <w:pStyle w:val="tabletext"/>
            </w:pPr>
          </w:p>
        </w:tc>
        <w:tc>
          <w:tcPr>
            <w:tcW w:w="1172" w:type="dxa"/>
            <w:tcBorders>
              <w:top w:val="single" w:sz="4" w:space="0" w:color="000000"/>
            </w:tcBorders>
            <w:shd w:val="clear" w:color="auto" w:fill="auto"/>
            <w:vAlign w:val="bottom"/>
          </w:tcPr>
          <w:p w14:paraId="44C07E2D" w14:textId="77777777" w:rsidR="00C9256D" w:rsidRDefault="00C9256D" w:rsidP="00C9256D">
            <w:pPr>
              <w:pStyle w:val="tabletext"/>
            </w:pPr>
          </w:p>
        </w:tc>
        <w:tc>
          <w:tcPr>
            <w:tcW w:w="1027" w:type="dxa"/>
            <w:tcBorders>
              <w:top w:val="single" w:sz="4" w:space="0" w:color="000000"/>
            </w:tcBorders>
            <w:shd w:val="clear" w:color="auto" w:fill="auto"/>
            <w:vAlign w:val="bottom"/>
          </w:tcPr>
          <w:p w14:paraId="27B56F46" w14:textId="77777777" w:rsidR="00C9256D" w:rsidRDefault="00C9256D" w:rsidP="00C9256D">
            <w:pPr>
              <w:pStyle w:val="tabletext"/>
            </w:pPr>
          </w:p>
        </w:tc>
      </w:tr>
      <w:tr w:rsidR="00C9256D" w14:paraId="786C2D29" w14:textId="77777777" w:rsidTr="00C9256D">
        <w:tc>
          <w:tcPr>
            <w:tcW w:w="1105" w:type="dxa"/>
            <w:shd w:val="clear" w:color="auto" w:fill="auto"/>
            <w:vAlign w:val="center"/>
          </w:tcPr>
          <w:p w14:paraId="564B3FA2" w14:textId="77777777" w:rsidR="00C9256D" w:rsidRDefault="00C9256D" w:rsidP="00C9256D">
            <w:pPr>
              <w:pStyle w:val="tabletext"/>
              <w:jc w:val="left"/>
            </w:pPr>
            <w:r>
              <w:t>Eq.rich2</w:t>
            </w:r>
          </w:p>
        </w:tc>
        <w:tc>
          <w:tcPr>
            <w:tcW w:w="1015" w:type="dxa"/>
            <w:shd w:val="clear" w:color="auto" w:fill="auto"/>
            <w:vAlign w:val="bottom"/>
          </w:tcPr>
          <w:p w14:paraId="1FD500D8" w14:textId="77777777" w:rsidR="00C9256D" w:rsidRDefault="00C9256D" w:rsidP="00C9256D">
            <w:pPr>
              <w:pStyle w:val="tabletext"/>
            </w:pPr>
            <w:r>
              <w:t>0.732 ***</w:t>
            </w:r>
          </w:p>
        </w:tc>
        <w:tc>
          <w:tcPr>
            <w:tcW w:w="1016" w:type="dxa"/>
            <w:shd w:val="clear" w:color="auto" w:fill="auto"/>
            <w:vAlign w:val="bottom"/>
          </w:tcPr>
          <w:p w14:paraId="498E33E3" w14:textId="77777777" w:rsidR="00C9256D" w:rsidRDefault="00C9256D" w:rsidP="00C9256D">
            <w:pPr>
              <w:pStyle w:val="tabletext"/>
            </w:pPr>
          </w:p>
        </w:tc>
        <w:tc>
          <w:tcPr>
            <w:tcW w:w="1016" w:type="dxa"/>
            <w:shd w:val="clear" w:color="auto" w:fill="auto"/>
            <w:vAlign w:val="bottom"/>
          </w:tcPr>
          <w:p w14:paraId="6F696800" w14:textId="77777777" w:rsidR="00C9256D" w:rsidRDefault="00C9256D" w:rsidP="00C9256D">
            <w:pPr>
              <w:pStyle w:val="tabletext"/>
            </w:pPr>
          </w:p>
        </w:tc>
        <w:tc>
          <w:tcPr>
            <w:tcW w:w="1172" w:type="dxa"/>
            <w:shd w:val="clear" w:color="auto" w:fill="auto"/>
            <w:vAlign w:val="bottom"/>
          </w:tcPr>
          <w:p w14:paraId="39C7AE5A" w14:textId="77777777" w:rsidR="00C9256D" w:rsidRDefault="00C9256D" w:rsidP="00C9256D">
            <w:pPr>
              <w:pStyle w:val="tabletext"/>
            </w:pPr>
          </w:p>
        </w:tc>
        <w:tc>
          <w:tcPr>
            <w:tcW w:w="1027" w:type="dxa"/>
            <w:shd w:val="clear" w:color="auto" w:fill="auto"/>
            <w:vAlign w:val="bottom"/>
          </w:tcPr>
          <w:p w14:paraId="3C789155" w14:textId="77777777" w:rsidR="00C9256D" w:rsidRDefault="00C9256D" w:rsidP="00C9256D">
            <w:pPr>
              <w:pStyle w:val="tabletext"/>
            </w:pPr>
          </w:p>
        </w:tc>
      </w:tr>
      <w:tr w:rsidR="00C9256D" w14:paraId="7EAF74A0" w14:textId="77777777" w:rsidTr="00C9256D">
        <w:tc>
          <w:tcPr>
            <w:tcW w:w="1105" w:type="dxa"/>
            <w:shd w:val="clear" w:color="auto" w:fill="auto"/>
            <w:vAlign w:val="center"/>
          </w:tcPr>
          <w:p w14:paraId="690D8271" w14:textId="77777777" w:rsidR="00C9256D" w:rsidRDefault="00C9256D" w:rsidP="00C9256D">
            <w:pPr>
              <w:pStyle w:val="tabletext"/>
              <w:jc w:val="left"/>
            </w:pPr>
            <w:r>
              <w:t>Jenks</w:t>
            </w:r>
          </w:p>
        </w:tc>
        <w:tc>
          <w:tcPr>
            <w:tcW w:w="1015" w:type="dxa"/>
            <w:shd w:val="clear" w:color="auto" w:fill="auto"/>
            <w:vAlign w:val="bottom"/>
          </w:tcPr>
          <w:p w14:paraId="46520F54" w14:textId="77777777" w:rsidR="00C9256D" w:rsidRDefault="00C9256D" w:rsidP="00C9256D">
            <w:pPr>
              <w:pStyle w:val="tabletext"/>
            </w:pPr>
            <w:r>
              <w:t>0.392 ***</w:t>
            </w:r>
          </w:p>
        </w:tc>
        <w:tc>
          <w:tcPr>
            <w:tcW w:w="1016" w:type="dxa"/>
            <w:shd w:val="clear" w:color="auto" w:fill="auto"/>
            <w:vAlign w:val="bottom"/>
          </w:tcPr>
          <w:p w14:paraId="5522E108" w14:textId="2BF46BA6" w:rsidR="00C9256D" w:rsidRDefault="00C9256D" w:rsidP="00C9256D">
            <w:pPr>
              <w:pStyle w:val="tabletext"/>
            </w:pPr>
            <w:r>
              <w:t xml:space="preserve">0.314 </w:t>
            </w:r>
            <w:r>
              <w:br/>
              <w:t>**</w:t>
            </w:r>
          </w:p>
        </w:tc>
        <w:tc>
          <w:tcPr>
            <w:tcW w:w="1016" w:type="dxa"/>
            <w:shd w:val="clear" w:color="auto" w:fill="auto"/>
            <w:vAlign w:val="bottom"/>
          </w:tcPr>
          <w:p w14:paraId="361FCFBE" w14:textId="77777777" w:rsidR="00C9256D" w:rsidRDefault="00C9256D" w:rsidP="00C9256D">
            <w:pPr>
              <w:pStyle w:val="tabletext"/>
            </w:pPr>
          </w:p>
        </w:tc>
        <w:tc>
          <w:tcPr>
            <w:tcW w:w="1172" w:type="dxa"/>
            <w:shd w:val="clear" w:color="auto" w:fill="auto"/>
            <w:vAlign w:val="bottom"/>
          </w:tcPr>
          <w:p w14:paraId="7D716BB6" w14:textId="77777777" w:rsidR="00C9256D" w:rsidRDefault="00C9256D" w:rsidP="00C9256D">
            <w:pPr>
              <w:pStyle w:val="tabletext"/>
            </w:pPr>
          </w:p>
        </w:tc>
        <w:tc>
          <w:tcPr>
            <w:tcW w:w="1027" w:type="dxa"/>
            <w:shd w:val="clear" w:color="auto" w:fill="auto"/>
            <w:vAlign w:val="bottom"/>
          </w:tcPr>
          <w:p w14:paraId="033E0E19" w14:textId="77777777" w:rsidR="00C9256D" w:rsidRDefault="00C9256D" w:rsidP="00C9256D">
            <w:pPr>
              <w:pStyle w:val="tabletext"/>
            </w:pPr>
          </w:p>
        </w:tc>
      </w:tr>
      <w:tr w:rsidR="00C9256D" w14:paraId="3B51F441" w14:textId="77777777" w:rsidTr="00C9256D">
        <w:tc>
          <w:tcPr>
            <w:tcW w:w="1105" w:type="dxa"/>
            <w:shd w:val="clear" w:color="auto" w:fill="auto"/>
            <w:vAlign w:val="center"/>
          </w:tcPr>
          <w:p w14:paraId="2C1A0A07" w14:textId="77777777" w:rsidR="00C9256D" w:rsidRDefault="00C9256D" w:rsidP="00C9256D">
            <w:pPr>
              <w:pStyle w:val="tabletext"/>
              <w:jc w:val="left"/>
            </w:pPr>
            <w:r>
              <w:t>Thresholds</w:t>
            </w:r>
          </w:p>
        </w:tc>
        <w:tc>
          <w:tcPr>
            <w:tcW w:w="1015" w:type="dxa"/>
            <w:shd w:val="clear" w:color="auto" w:fill="auto"/>
            <w:vAlign w:val="bottom"/>
          </w:tcPr>
          <w:p w14:paraId="7DFF684F" w14:textId="77777777" w:rsidR="00C9256D" w:rsidRDefault="00C9256D" w:rsidP="00C9256D">
            <w:pPr>
              <w:pStyle w:val="tabletext"/>
            </w:pPr>
            <w:r>
              <w:t>0.686 ***</w:t>
            </w:r>
          </w:p>
        </w:tc>
        <w:tc>
          <w:tcPr>
            <w:tcW w:w="1016" w:type="dxa"/>
            <w:shd w:val="clear" w:color="auto" w:fill="auto"/>
            <w:vAlign w:val="bottom"/>
          </w:tcPr>
          <w:p w14:paraId="4A51A0A0" w14:textId="5AD28C41" w:rsidR="00C9256D" w:rsidRDefault="00C9256D" w:rsidP="00C9256D">
            <w:pPr>
              <w:pStyle w:val="tabletext"/>
            </w:pPr>
            <w:r>
              <w:t xml:space="preserve">0.785 </w:t>
            </w:r>
            <w:r>
              <w:br/>
              <w:t>***</w:t>
            </w:r>
          </w:p>
        </w:tc>
        <w:tc>
          <w:tcPr>
            <w:tcW w:w="1016" w:type="dxa"/>
            <w:shd w:val="clear" w:color="auto" w:fill="auto"/>
            <w:vAlign w:val="bottom"/>
          </w:tcPr>
          <w:p w14:paraId="388BF2C4" w14:textId="048AF6BC" w:rsidR="00C9256D" w:rsidRDefault="00C9256D" w:rsidP="00C9256D">
            <w:pPr>
              <w:pStyle w:val="tabletext"/>
            </w:pPr>
            <w:r>
              <w:t xml:space="preserve">0.465 </w:t>
            </w:r>
            <w:r>
              <w:br/>
              <w:t>***</w:t>
            </w:r>
          </w:p>
        </w:tc>
        <w:tc>
          <w:tcPr>
            <w:tcW w:w="1172" w:type="dxa"/>
            <w:shd w:val="clear" w:color="auto" w:fill="auto"/>
            <w:vAlign w:val="bottom"/>
          </w:tcPr>
          <w:p w14:paraId="6BED1E78" w14:textId="77777777" w:rsidR="00C9256D" w:rsidRDefault="00C9256D" w:rsidP="00C9256D">
            <w:pPr>
              <w:pStyle w:val="tabletext"/>
            </w:pPr>
          </w:p>
        </w:tc>
        <w:tc>
          <w:tcPr>
            <w:tcW w:w="1027" w:type="dxa"/>
            <w:shd w:val="clear" w:color="auto" w:fill="auto"/>
            <w:vAlign w:val="bottom"/>
          </w:tcPr>
          <w:p w14:paraId="02B6D690" w14:textId="77777777" w:rsidR="00C9256D" w:rsidRDefault="00C9256D" w:rsidP="00C9256D">
            <w:pPr>
              <w:pStyle w:val="tabletext"/>
            </w:pPr>
          </w:p>
        </w:tc>
      </w:tr>
      <w:tr w:rsidR="00C9256D" w14:paraId="000E7974" w14:textId="77777777" w:rsidTr="00C9256D">
        <w:tc>
          <w:tcPr>
            <w:tcW w:w="1105" w:type="dxa"/>
            <w:tcBorders>
              <w:bottom w:val="single" w:sz="4" w:space="0" w:color="000000"/>
            </w:tcBorders>
            <w:shd w:val="clear" w:color="auto" w:fill="auto"/>
            <w:vAlign w:val="center"/>
          </w:tcPr>
          <w:p w14:paraId="52144652" w14:textId="77777777" w:rsidR="00C9256D" w:rsidRDefault="00C9256D" w:rsidP="00C9256D">
            <w:pPr>
              <w:pStyle w:val="tabletext"/>
              <w:jc w:val="left"/>
            </w:pPr>
            <w:r>
              <w:t>Extremes</w:t>
            </w:r>
          </w:p>
        </w:tc>
        <w:tc>
          <w:tcPr>
            <w:tcW w:w="1015" w:type="dxa"/>
            <w:tcBorders>
              <w:bottom w:val="single" w:sz="4" w:space="0" w:color="000000"/>
            </w:tcBorders>
            <w:shd w:val="clear" w:color="auto" w:fill="auto"/>
            <w:vAlign w:val="bottom"/>
          </w:tcPr>
          <w:p w14:paraId="6EDA8710" w14:textId="77777777" w:rsidR="00C9256D" w:rsidRDefault="00C9256D" w:rsidP="00C9256D">
            <w:pPr>
              <w:pStyle w:val="tabletext"/>
            </w:pPr>
            <w:r>
              <w:t>0.738 ***</w:t>
            </w:r>
          </w:p>
        </w:tc>
        <w:tc>
          <w:tcPr>
            <w:tcW w:w="1016" w:type="dxa"/>
            <w:tcBorders>
              <w:bottom w:val="single" w:sz="4" w:space="0" w:color="000000"/>
            </w:tcBorders>
            <w:shd w:val="clear" w:color="auto" w:fill="auto"/>
            <w:vAlign w:val="bottom"/>
          </w:tcPr>
          <w:p w14:paraId="507C5165" w14:textId="5A5B885B" w:rsidR="00C9256D" w:rsidRDefault="00C9256D" w:rsidP="00C9256D">
            <w:pPr>
              <w:pStyle w:val="tabletext"/>
            </w:pPr>
            <w:r>
              <w:t xml:space="preserve">0.771 </w:t>
            </w:r>
            <w:r>
              <w:br/>
              <w:t>***</w:t>
            </w:r>
          </w:p>
        </w:tc>
        <w:tc>
          <w:tcPr>
            <w:tcW w:w="1016" w:type="dxa"/>
            <w:tcBorders>
              <w:bottom w:val="single" w:sz="4" w:space="0" w:color="000000"/>
            </w:tcBorders>
            <w:shd w:val="clear" w:color="auto" w:fill="auto"/>
            <w:vAlign w:val="bottom"/>
          </w:tcPr>
          <w:p w14:paraId="4C4B6EC6" w14:textId="3CF08570" w:rsidR="00C9256D" w:rsidRDefault="00C9256D" w:rsidP="00C9256D">
            <w:pPr>
              <w:pStyle w:val="tabletext"/>
            </w:pPr>
            <w:r>
              <w:t>0.423</w:t>
            </w:r>
            <w:r>
              <w:br/>
              <w:t>***</w:t>
            </w:r>
          </w:p>
        </w:tc>
        <w:tc>
          <w:tcPr>
            <w:tcW w:w="1172" w:type="dxa"/>
            <w:tcBorders>
              <w:bottom w:val="single" w:sz="4" w:space="0" w:color="000000"/>
            </w:tcBorders>
            <w:shd w:val="clear" w:color="auto" w:fill="auto"/>
            <w:vAlign w:val="bottom"/>
          </w:tcPr>
          <w:p w14:paraId="5B70F9BE" w14:textId="77777777" w:rsidR="00C9256D" w:rsidRDefault="00C9256D" w:rsidP="00C9256D">
            <w:pPr>
              <w:pStyle w:val="tabletext"/>
            </w:pPr>
            <w:r>
              <w:t>0.807</w:t>
            </w:r>
          </w:p>
          <w:p w14:paraId="04E58F07" w14:textId="0119F24C" w:rsidR="00C9256D" w:rsidRDefault="00C9256D" w:rsidP="00C9256D">
            <w:pPr>
              <w:pStyle w:val="tabletext"/>
            </w:pPr>
            <w:r>
              <w:t>***</w:t>
            </w:r>
          </w:p>
        </w:tc>
        <w:tc>
          <w:tcPr>
            <w:tcW w:w="1027" w:type="dxa"/>
            <w:tcBorders>
              <w:bottom w:val="single" w:sz="4" w:space="0" w:color="000000"/>
            </w:tcBorders>
            <w:shd w:val="clear" w:color="auto" w:fill="auto"/>
            <w:vAlign w:val="bottom"/>
          </w:tcPr>
          <w:p w14:paraId="75ACC500" w14:textId="77777777" w:rsidR="00C9256D" w:rsidRDefault="00C9256D" w:rsidP="00C9256D">
            <w:pPr>
              <w:pStyle w:val="tabletext"/>
            </w:pPr>
          </w:p>
        </w:tc>
      </w:tr>
    </w:tbl>
    <w:p w14:paraId="465612B5" w14:textId="77777777" w:rsidR="00C9256D" w:rsidRDefault="00C9256D" w:rsidP="00C9256D"/>
    <w:p w14:paraId="6F18931A" w14:textId="39260342" w:rsidR="00C53079" w:rsidRDefault="00C9256D" w:rsidP="00C9256D">
      <w:r>
        <w:t>All the partition methods were positively correlated (p &lt; 0.01, most p &lt; 0.001). Despite it was not the most sensitive partition method; we used the partitioning in groups of similar species richness because it had fewer assumptions.</w:t>
      </w:r>
    </w:p>
    <w:p w14:paraId="0257BDE4" w14:textId="77777777" w:rsidR="00C53079" w:rsidRDefault="00C53079">
      <w:pPr>
        <w:suppressAutoHyphens w:val="0"/>
        <w:spacing w:line="240" w:lineRule="auto"/>
        <w:ind w:firstLine="0"/>
        <w:jc w:val="left"/>
      </w:pPr>
      <w:r>
        <w:br w:type="page"/>
      </w:r>
    </w:p>
    <w:p w14:paraId="3B8AAECF" w14:textId="420B384A" w:rsidR="00C9256D" w:rsidRDefault="00C9256D" w:rsidP="00C53079">
      <w:pPr>
        <w:ind w:firstLine="0"/>
      </w:pPr>
    </w:p>
    <w:p w14:paraId="1CD042C2" w14:textId="4F45A58B" w:rsidR="00C9256D" w:rsidRPr="00286D81" w:rsidRDefault="00C9256D" w:rsidP="00C9256D">
      <w:pPr>
        <w:pStyle w:val="Heading1"/>
      </w:pPr>
      <w:r w:rsidRPr="00286D81">
        <w:t>Trait analys</w:t>
      </w:r>
      <w:r>
        <w:t>e</w:t>
      </w:r>
      <w:r w:rsidRPr="00286D81">
        <w:t>s</w:t>
      </w:r>
    </w:p>
    <w:p w14:paraId="7C9DDF1E" w14:textId="30F7410B" w:rsidR="00C9256D" w:rsidRDefault="00C9256D" w:rsidP="00C9256D">
      <w:r>
        <w:t xml:space="preserve">We gathered species trait data from TRY </w:t>
      </w:r>
      <w:r>
        <w:fldChar w:fldCharType="begin"/>
      </w:r>
      <w:r w:rsidR="00934C7A">
        <w:instrText xml:space="preserve"> ADDIN ZOTERO_ITEM CSL_CITATION {"citationID":"T01VSpTm","properties":{"formattedCitation":"(Kattge {\\i{}et al.}, 2020)","plainCitation":"(Kattge et al., 2020)","noteIndex":0},"citationItems":[{"id":12664,"uris":["http://zotero.org/users/172357/items/JYCJ2UG6"],"uri":["http://zotero.org/users/172357/items/JYCJ2UG6"],"itemData":{"id":12664,"type":"article-journal","abstract":"Plant traits—the morphological, anatomical, physiological, biochemical and phenological characteristics of plants—determine how plants respond to environmental factors, affect other trophic levels, and influence ecosystem properties and their benefits and detriments to people. Plant trait data thus represent the basis for a vast area of research spanning from evolutionary biology, community and functional ecology, to biodiversity conservation, ecosystem and landscape management, restoration, biogeography and earth system modelling. Since its foundation in 2007, the TRY database of plant traits has grown continuously. It now provides unprecedented data coverage under an open access data policy and is the main plant trait database used by the research community worldwide. Increasingly, the TRY database also supports new frontiers of trait-based plant research, including the identification of data gaps and the subsequent mobilization or measurement of new data. To support this development, in this article we evaluate the extent of the trait data compiled in TRY and analyse emerging patterns of data coverage and representativeness. Best species coverage is achieved for categorical traits—almost complete coverage for ‘plant growth form’. However, most traits relevant for ecology and vegetation modelling are characterized by continuous intraspecific variation and trait–environmental relationships. These traits have to be measured on individual plants in their respective environment. Despite unprecedented data coverage, we observe a humbling lack of completeness and representativeness of these continuous traits in many aspects. We, therefore, conclude that reducing data gaps and biases in the TRY database remains a key challenge and requires a coordinated approach to data mobilization and trait measurements. This can only be achieved in collaboration with other initiatives.","container-title":"Global Change Biology","DOI":"10.1111/gcb.14904","ISSN":"1354-1013, 1365-2486","issue":"1","language":"en","page":"119-188","source":"Crossref","title":"TRY plant trait database – enhanced coverage and open access","volume":"26","author":[{"family":"Kattge","given":"Jens"},{"family":"Bönisch","given":"Gerhard"},{"family":"Díaz","given":"Sandra"},{"family":"Lavorel","given":"Sandra"},{"family":"Prentice","given":"Iain Colin"},{"family":"Leadley","given":"Paul"},{"family":"Tautenhahn","given":"Susanne"},{"family":"Werner","given":"Gijsbert D. A."},{"family":"Aakala","given":"Tuomas"},{"family":"Abedi","given":"Mehdi"},{"family":"Acosta","given":"Alicia T. R."},{"family":"Adamidis","given":"George C."},{"family":"Adamson","given":"Kairi"},{"family":"Aiba","given":"Masahiro"},{"family":"Albert","given":"Cécile H."},{"family":"Alcántara","given":"Julio M."},{"family":"Alcázar C","given":"Carolina"},{"family":"Aleixo","given":"Izabela"},{"family":"Ali","given":"Hamada"},{"family":"Amiaud","given":"Bernard"},{"family":"Ammer","given":"Christian"},{"family":"Amoroso","given":"Mariano M."},{"family":"Anand","given":"Madhur"},{"family":"Anderson","given":"Carolyn"},{"family":"Anten","given":"Niels"},{"family":"Antos","given":"Joseph"},{"family":"Apgaua","given"</w:instrText>
      </w:r>
      <w:r w:rsidR="00934C7A">
        <w:rPr>
          <w:rFonts w:hint="eastAsia"/>
        </w:rPr>
        <w:instrText>:"Deborah Mattos Guimarães"},{"family":"Ashman","given":"Tia</w:instrText>
      </w:r>
      <w:r w:rsidR="00934C7A">
        <w:rPr>
          <w:rFonts w:hint="eastAsia"/>
        </w:rPr>
        <w:instrText>‐</w:instrText>
      </w:r>
      <w:r w:rsidR="00934C7A">
        <w:rPr>
          <w:rFonts w:hint="eastAsia"/>
        </w:rPr>
        <w:instrText>Lynn"},{"family":"Asmara","given":"Degi Harja"},{"family":"Asner","given":"Gregory P."},{"family":"Aspinwall","given":"Michael"},{"family":"Atkin","given":"Owen"},{"family":"Aubin","given":"Isabelle"},{"family":"Baastrup</w:instrText>
      </w:r>
      <w:r w:rsidR="00934C7A">
        <w:rPr>
          <w:rFonts w:hint="eastAsia"/>
        </w:rPr>
        <w:instrText>‐</w:instrText>
      </w:r>
      <w:r w:rsidR="00934C7A">
        <w:rPr>
          <w:rFonts w:hint="eastAsia"/>
        </w:rPr>
        <w:instrText>Spohr","given":"Lars"},{"family":"Bahalkeh","given":"Khadijeh"},{"family":"Bahn","given":"Michael"},{"family":"Baker","given":"Timothy"},{"family":"Baker","given":"William J."},{"family":"Bakker","given":"Jan P."},{"family":"Bal</w:instrText>
      </w:r>
      <w:r w:rsidR="00934C7A">
        <w:instrText>docchi","given":"Dennis"},{"family":"Baltzer","given":"Jennifer"},{"family":"Banerjee","given":"Arindam"},{"family":"Baranger","given":"Anne"},{"family":"Barlow","given":"Jos"},{"family":"Barneche","given":"Diego R."},{"family":"Baruch","given":"Zdravko"},{"family":"Bastianelli","given":"Denis"},{"family":"Battles","given":"John"},{"family":"Bauerle","given":"William"},{"family":"Bauters","given":"Marijn"},{"family":"Bazzato","given":"Erika"},{"family":"Beckmann","given":"Michael"},{"family":"Beeckman","given":"Hans"},{"family":"Beierkuhnlein","given":"Carl"},{"family":"Bekker","given":"Renee"},{"family":"Belfry","given":"Gavin"},{"family":"Belluau","given":"Michael"},{"family":"Beloiu","given":"Mirela"},{"family":"Benavides","given":"Raquel"},{"family":"</w:instrText>
      </w:r>
      <w:r w:rsidR="00934C7A">
        <w:rPr>
          <w:rFonts w:hint="eastAsia"/>
        </w:rPr>
        <w:instrText>Benomar","given":"Lahcen"},{"family":"Berdugo</w:instrText>
      </w:r>
      <w:r w:rsidR="00934C7A">
        <w:rPr>
          <w:rFonts w:hint="eastAsia"/>
        </w:rPr>
        <w:instrText>‐</w:instrText>
      </w:r>
      <w:r w:rsidR="00934C7A">
        <w:rPr>
          <w:rFonts w:hint="eastAsia"/>
        </w:rPr>
        <w:instrText>Lattke","given":"Mary Lee"},{"family":"Berenguer","given":"Erika"},{"family":"Bergamin","given":"Rodrigo"},{"family":"Bergmann","given":"Joana"},{"family":"Bergmann Carlucci","given":"Marcos"},{"family":"Berner","given":"Logan"},{"family":"Bernhardt</w:instrText>
      </w:r>
      <w:r w:rsidR="00934C7A">
        <w:rPr>
          <w:rFonts w:hint="eastAsia"/>
        </w:rPr>
        <w:instrText>‐</w:instrText>
      </w:r>
      <w:r w:rsidR="00934C7A">
        <w:rPr>
          <w:rFonts w:hint="eastAsia"/>
        </w:rPr>
        <w:instrText>Römermann","given":"Markus"},{"family":"Bigler","given":"Christof"},{"family":"Bjorkman","given":"Anne D."},{"family":"Blackman","given":"Chris"},{"family":"Blanco","given":"Carolina"},{"family":"Blonder","given":"Benjamin"},{"family":"Blumenthal","given":"Dana"},{"family":"Bocanegra</w:instrText>
      </w:r>
      <w:r w:rsidR="00934C7A">
        <w:rPr>
          <w:rFonts w:hint="eastAsia"/>
        </w:rPr>
        <w:instrText>‐</w:instrText>
      </w:r>
      <w:r w:rsidR="00934C7A">
        <w:rPr>
          <w:rFonts w:hint="eastAsia"/>
        </w:rPr>
        <w:instrText>González","given":"Kelly T."},{"family":"Boeckx","given":"Pascal"},{"family":"Bohlman","given":"Stephanie"},{"family":"Böhning</w:instrText>
      </w:r>
      <w:r w:rsidR="00934C7A">
        <w:rPr>
          <w:rFonts w:hint="eastAsia"/>
        </w:rPr>
        <w:instrText>‐</w:instrText>
      </w:r>
      <w:r w:rsidR="00934C7A">
        <w:rPr>
          <w:rFonts w:hint="eastAsia"/>
        </w:rPr>
        <w:instrText>Gaese","given":"Katrin"},{"family":"Boisvert</w:instrText>
      </w:r>
      <w:r w:rsidR="00934C7A">
        <w:rPr>
          <w:rFonts w:hint="eastAsia"/>
        </w:rPr>
        <w:instrText>‐</w:instrText>
      </w:r>
      <w:r w:rsidR="00934C7A">
        <w:rPr>
          <w:rFonts w:hint="eastAsia"/>
        </w:rPr>
        <w:instrText>Marsh","given":"Laura"},{"family":"Bond","given":"William"},{"family":"Bond</w:instrText>
      </w:r>
      <w:r w:rsidR="00934C7A">
        <w:rPr>
          <w:rFonts w:hint="eastAsia"/>
        </w:rPr>
        <w:instrText>‐</w:instrText>
      </w:r>
      <w:r w:rsidR="00934C7A">
        <w:rPr>
          <w:rFonts w:hint="eastAsia"/>
        </w:rPr>
        <w:instrText>Lamberty","given":"Ben"},{"family":"Boom","given":"Arnoud"},{"family":"Boonman","given":"Coline C. F."},{"family":"Bordin","given":"Kauane"},{"family":"Boughton","given":"Elizabeth H."},{"fam</w:instrText>
      </w:r>
      <w:r w:rsidR="00934C7A">
        <w:instrText>ily":"Boukili","given":"Vanessa"},{"family":"Bowman","given":"David M. J. S."},{"family":"Bravo","given":"Sandra"},{"family":"Brendel","given":"Marco Richard"},{"family":"Broadley","given":"Martin R."},{"family":"Brown","given":"Kerry A."},{"family":"Bruelheide","given":"Helge"},{"family":"Brumnich","given":"Federico"},{"family":"Bruun","given":"Hans Henrik"},{"family":"Bruy","given":"David"},{"family":"Buchanan","given":"Serra W."},{"family":"Bucher","given":"Solveig Franziska"},{"family":"Buchmann","given":"Nina"},{"family":"Buitenwerf","given":"Robert"},{"family":"Bunker","given":"Daniel E."},{"family":"Bürger","given":"Jana"},{"family":"Burrascano","given":"Sabina"},{"family":"Burslem","given":"David F. R. P."},{"family":"Butterfield","given":"Bradley J."},{"family":"Byun","given":"Chaeho"},{"family":"Marques","given":"Marcia"},{"family":"Scalon","given":"Marina C."},{"family":"Caccianiga","given":"Marco"},{"family":"Cadotte","given":"Marc"},{"family":"Cailleret","given":"Maxime"},{"family":"Camac","g</w:instrText>
      </w:r>
      <w:r w:rsidR="00934C7A">
        <w:rPr>
          <w:rFonts w:hint="eastAsia"/>
        </w:rPr>
        <w:instrText>iven":"James"},{"family":"Camarero","given":"Jesús Julio"},{"family":"Campany","given":"Courtney"},{"family":"Campetella","given":"Giandiego"},{"family":"Campos","given":"Juan Antonio"},{"family":"Cano</w:instrText>
      </w:r>
      <w:r w:rsidR="00934C7A">
        <w:rPr>
          <w:rFonts w:hint="eastAsia"/>
        </w:rPr>
        <w:instrText>‐</w:instrText>
      </w:r>
      <w:r w:rsidR="00934C7A">
        <w:rPr>
          <w:rFonts w:hint="eastAsia"/>
        </w:rPr>
        <w:instrText>Arboleda","given":"Laura"},{"family":"Canullo","given":"Roberto"},{"family":"Carbognani","given":"Michele"},{"family":"Carvalho","given":"Fabio"},{"family":"Casanoves","given":"Fernando"},{"family":"Castagneyrol","given":"Bastien"},{"family":"Catford","given":"Jane A."},{"family":"Cavender</w:instrText>
      </w:r>
      <w:r w:rsidR="00934C7A">
        <w:rPr>
          <w:rFonts w:hint="eastAsia"/>
        </w:rPr>
        <w:instrText>‐</w:instrText>
      </w:r>
      <w:r w:rsidR="00934C7A">
        <w:rPr>
          <w:rFonts w:hint="eastAsia"/>
        </w:rPr>
        <w:instrText>Bares","given":"Jeannine"},{"family":"Cerabolini","given":"Bruno E. L."},{"family":"Cervellini","given":"Marco"},{"family":"Chacón</w:instrText>
      </w:r>
      <w:r w:rsidR="00934C7A">
        <w:rPr>
          <w:rFonts w:hint="eastAsia"/>
        </w:rPr>
        <w:instrText>‐</w:instrText>
      </w:r>
      <w:r w:rsidR="00934C7A">
        <w:rPr>
          <w:rFonts w:hint="eastAsia"/>
        </w:rPr>
        <w:instrText>Madrigal","given":"Eduardo"},{"family":"Chapin","given":"Kenneth"},{"family":"Chapin","given":"F. Stuart"},{"family":"Chelli","given":"Stefano"},{"family":"Chen","given":"Si</w:instrText>
      </w:r>
      <w:r w:rsidR="00934C7A">
        <w:rPr>
          <w:rFonts w:hint="eastAsia"/>
        </w:rPr>
        <w:instrText>‐</w:instrText>
      </w:r>
      <w:r w:rsidR="00934C7A">
        <w:rPr>
          <w:rFonts w:hint="eastAsia"/>
        </w:rPr>
        <w:instrText>Chong"},{"family":"Chen","given":"Anping"},{"family":"Cherubini","given":"Paolo"},{"family":"Chianucci","given":"Francesco"},{"family":"Choat","given":"Brendan"},{"family":"Chung","given":"Kyong</w:instrText>
      </w:r>
      <w:r w:rsidR="00934C7A">
        <w:rPr>
          <w:rFonts w:hint="eastAsia"/>
        </w:rPr>
        <w:instrText>‐</w:instrText>
      </w:r>
      <w:r w:rsidR="00934C7A">
        <w:rPr>
          <w:rFonts w:hint="eastAsia"/>
        </w:rPr>
        <w:instrText>Sook"},{"family":"Chytrý","</w:instrText>
      </w:r>
      <w:r w:rsidR="00934C7A">
        <w:instrText>given":"Milan"},{"family":"Ciccarelli","given":"Daniela"},{"family":"Coll","given":"Lluís"},{"family":"Collins","given":"Courtney G."},{"family":"Conti","given":"Luisa"},{"family":"Coomes","given":"David"},{"family":"Cornelissen","given":"Johannes H. C."},{"family":"Cornwell","given":"William K."},{"family":"Corona","given":"Piermaria"},{"family":"Coyea","given":"Marie"},{"family":"Craine","given":"Joseph"},{"family":"Craven","given":"Dylan"},{"family":"Cromsigt","given":"Joris P. G. M."},{"family":"Csecserits","given":"Anikó"},{"family":"Cufar","given":"Katarina"},{"family":"Cuntz","given":"Matthias"},{"family":"Silva","given":"Ana Carolina"},{"family":"Dahlin","given":"Kyla M."},{"family":"Dainese","given":"Matteo"},{"family":"Dalke","given":"Igor"},{"f</w:instrText>
      </w:r>
      <w:r w:rsidR="00934C7A">
        <w:rPr>
          <w:rFonts w:hint="eastAsia"/>
        </w:rPr>
        <w:instrText>amily":"Dalle Fratte","given":"Michele"},{"family":"Dang</w:instrText>
      </w:r>
      <w:r w:rsidR="00934C7A">
        <w:rPr>
          <w:rFonts w:hint="eastAsia"/>
        </w:rPr>
        <w:instrText>‐</w:instrText>
      </w:r>
      <w:r w:rsidR="00934C7A">
        <w:rPr>
          <w:rFonts w:hint="eastAsia"/>
        </w:rPr>
        <w:instrText>Le","given":"Anh Tuan"},{"family":"Danihelka","given":"Jirí"},{"family":"Dannoura","given":"Masako"},{"family":"Dawson","given":"Samantha"},{"family":"Beer","given":"Arend Jacobus"},{"family":"De Fr</w:instrText>
      </w:r>
      <w:r w:rsidR="00934C7A">
        <w:instrText>utos","given":"Angel"},{"family":"De Long","given":"Jonathan R."},{"family":"Dechant","given":"Benjamin"},{"family":"Delagrange","given":"Sylvain"},{"family":"Delpierre","given":"Nicolas"},{"family":"Derroire","given":"Géraldine"},{"family":"Dias","given"</w:instrText>
      </w:r>
      <w:r w:rsidR="00934C7A">
        <w:rPr>
          <w:rFonts w:hint="eastAsia"/>
        </w:rPr>
        <w:instrText>:"Arildo S."},{"family":"Diaz</w:instrText>
      </w:r>
      <w:r w:rsidR="00934C7A">
        <w:rPr>
          <w:rFonts w:hint="eastAsia"/>
        </w:rPr>
        <w:instrText>‐</w:instrText>
      </w:r>
      <w:r w:rsidR="00934C7A">
        <w:rPr>
          <w:rFonts w:hint="eastAsia"/>
        </w:rPr>
        <w:instrText>Toribio","given":"Milton Hugo"},{"family":"Dimitrakopoulos","given":"Panayiotis G."},{"family":"Dobrowolski","given":"Mark"},{"family":"Doktor","given":"Daniel"},{"family":"Dřevojan","given":"Pavel"},{"family":"Dong","given":</w:instrText>
      </w:r>
      <w:r w:rsidR="00934C7A">
        <w:instrText>"Ning"},{"family":"Dransfield","given":"John"},{"family":"Dressler","given":"Stefan"},{"family":"Duarte","given":"Leandro"},{"family":"Ducouret","given":"Emilie"},{"family":"Dullinger","given":"Stefan"},{"family":"Durka","given":"Walter"},{"family":"Duurs</w:instrText>
      </w:r>
      <w:r w:rsidR="00934C7A">
        <w:rPr>
          <w:rFonts w:hint="eastAsia"/>
        </w:rPr>
        <w:instrText>ma","given":"Remko"},{"family":"Dymova","given":"Olga"},{"family":"E</w:instrText>
      </w:r>
      <w:r w:rsidR="00934C7A">
        <w:rPr>
          <w:rFonts w:hint="eastAsia"/>
        </w:rPr>
        <w:instrText>‐</w:instrText>
      </w:r>
      <w:r w:rsidR="00934C7A">
        <w:rPr>
          <w:rFonts w:hint="eastAsia"/>
        </w:rPr>
        <w:instrText>Vojtkó","given":"Anna"},{"family":"Eckstein","given":"Rolf Lutz"},{"family":"Ejtehadi","given":"Hamid"},{"family":"Elser","given":"James"},{"family":"Emilio","given":"Thaise"},{"family":"Engemann","given":"Kristine"},{"family":"Erfanian","given":"Mohammad Bagher"},{"family":"Erfmeier","given":"Alexandra"},{"family":"Esquivel</w:instrText>
      </w:r>
      <w:r w:rsidR="00934C7A">
        <w:rPr>
          <w:rFonts w:hint="eastAsia"/>
        </w:rPr>
        <w:instrText>‐</w:instrText>
      </w:r>
      <w:r w:rsidR="00934C7A">
        <w:rPr>
          <w:rFonts w:hint="eastAsia"/>
        </w:rPr>
        <w:instrText>Muelbert","given":"Adriane"},{"family":"Esser","given":"Gerd"},{"family":"Estiarte","given":"Marc"},{"family":"Dom</w:instrText>
      </w:r>
      <w:r w:rsidR="00934C7A">
        <w:instrText>ingues","given":"Tomas F."},{"family":"Fagan","given":"William F."},{"family":"Fagúndez","given":"Jaime"},{"family":"Falster","given":"Daniel S."},{"family":"Fan","given":"Ying"},{"family":"Fang","given":"Jingyun"},{"family":"Farris","given":"Emmanuele"},</w:instrText>
      </w:r>
      <w:r w:rsidR="00934C7A">
        <w:rPr>
          <w:rFonts w:hint="eastAsia"/>
        </w:rPr>
        <w:instrText>{"family":"Fazlioglu","given":"Fatih"},{"family":"Feng","given":"Yanhao"},{"family":"Fernandez</w:instrText>
      </w:r>
      <w:r w:rsidR="00934C7A">
        <w:rPr>
          <w:rFonts w:hint="eastAsia"/>
        </w:rPr>
        <w:instrText>‐</w:instrText>
      </w:r>
      <w:r w:rsidR="00934C7A">
        <w:rPr>
          <w:rFonts w:hint="eastAsia"/>
        </w:rPr>
        <w:instrText>Mendez","given":"Fernando"},{"family":"Ferrara","given":"Carlotta"},{"family":"Ferreira","given":"Joice"},{"family":"Fidelis","given":"Alessandra"},{"family":"F</w:instrText>
      </w:r>
      <w:r w:rsidR="00934C7A">
        <w:instrText>inegan","given":"Bryan"},{"family":"Firn","given":"Jennifer"},{"family":"Flowers","given":"Timothy J."},{"family":"Flynn","given":"Dan F. B."},{"family":"Fontana","given":"Veronika"},{"family":"Forey","given":"Estelle"},{"family":"Forgiarini","given":"Cri</w:instrText>
      </w:r>
      <w:r w:rsidR="00934C7A">
        <w:rPr>
          <w:rFonts w:hint="eastAsia"/>
        </w:rPr>
        <w:instrText>stiane"},{"family":"François","given":"Louis"},{"family":"Frangipani","given":"Marcelo"},{"family":"Frank","given":"Dorothea"},{"family":"Frenette</w:instrText>
      </w:r>
      <w:r w:rsidR="00934C7A">
        <w:rPr>
          <w:rFonts w:hint="eastAsia"/>
        </w:rPr>
        <w:instrText>‐</w:instrText>
      </w:r>
      <w:r w:rsidR="00934C7A">
        <w:rPr>
          <w:rFonts w:hint="eastAsia"/>
        </w:rPr>
        <w:instrText>Dussault","given":"Cedric"},{"family":"Freschet","given":"Grégoire T."},{"family":"Fry","given":"Ellen L."},</w:instrText>
      </w:r>
      <w:r w:rsidR="00934C7A">
        <w:instrText>{"family":"Fyllas","given":"Nikolaos M."},{"family":"Mazzochini","given":"Guilherme G."},{"family":"Gachet","given":"Sophie"},{"family":"Gallagher","given":"Rachael"},{"family":"Ganade","given":"Gislene"},{"family":"Ganga","given":"Francesca"},{"family":"</w:instrText>
      </w:r>
      <w:r w:rsidR="00934C7A">
        <w:rPr>
          <w:rFonts w:hint="eastAsia"/>
        </w:rPr>
        <w:instrText>García</w:instrText>
      </w:r>
      <w:r w:rsidR="00934C7A">
        <w:rPr>
          <w:rFonts w:hint="eastAsia"/>
        </w:rPr>
        <w:instrText>‐</w:instrText>
      </w:r>
      <w:r w:rsidR="00934C7A">
        <w:rPr>
          <w:rFonts w:hint="eastAsia"/>
        </w:rPr>
        <w:instrText>Palacios","given":"Pablo"},{"family":"Gargaglione","given":"Verónica"},{"family":"Garnier","given":"Eric"},{"family":"Garrido","given":"Jose Luis"},{"family":"Gasper","given":"André Luís"},{"family":"Gea</w:instrText>
      </w:r>
      <w:r w:rsidR="00934C7A">
        <w:rPr>
          <w:rFonts w:hint="eastAsia"/>
        </w:rPr>
        <w:instrText>‐</w:instrText>
      </w:r>
      <w:r w:rsidR="00934C7A">
        <w:rPr>
          <w:rFonts w:hint="eastAsia"/>
        </w:rPr>
        <w:instrText>Izquierdo","given":"Guillermo"},{"family":"Gibson","given":"David"},{"family":"Gillison","given":"Andrew N."},{"family":"Giroldo","given":"Aelton"},{"family":"Glasenhardt","given":"Mary</w:instrText>
      </w:r>
      <w:r w:rsidR="00934C7A">
        <w:rPr>
          <w:rFonts w:hint="eastAsia"/>
        </w:rPr>
        <w:instrText>‐</w:instrText>
      </w:r>
      <w:r w:rsidR="00934C7A">
        <w:rPr>
          <w:rFonts w:hint="eastAsia"/>
        </w:rPr>
        <w:instrText>Claire"},{"family":"Gleason","given":"Sean"},{"family":"Gliesch","given":"Mariana"},{"family":"Goldberg","given":"Emma"},{"family":"Göldel","given":"Bastian"},{"family":"Gonzalez</w:instrText>
      </w:r>
      <w:r w:rsidR="00934C7A">
        <w:rPr>
          <w:rFonts w:hint="eastAsia"/>
        </w:rPr>
        <w:instrText>‐</w:instrText>
      </w:r>
      <w:r w:rsidR="00934C7A">
        <w:rPr>
          <w:rFonts w:hint="eastAsia"/>
        </w:rPr>
        <w:instrText>Akre","given":"Erika"},{"family":"Gonzalez</w:instrText>
      </w:r>
      <w:r w:rsidR="00934C7A">
        <w:rPr>
          <w:rFonts w:hint="eastAsia"/>
        </w:rPr>
        <w:instrText>‐</w:instrText>
      </w:r>
      <w:r w:rsidR="00934C7A">
        <w:rPr>
          <w:rFonts w:hint="eastAsia"/>
        </w:rPr>
        <w:instrText>Andujar","given":"Jose L."},{"family":"González</w:instrText>
      </w:r>
      <w:r w:rsidR="00934C7A">
        <w:rPr>
          <w:rFonts w:hint="eastAsia"/>
        </w:rPr>
        <w:instrText>‐</w:instrText>
      </w:r>
      <w:r w:rsidR="00934C7A">
        <w:rPr>
          <w:rFonts w:hint="eastAsia"/>
        </w:rPr>
        <w:instrText>Melo","given":"Andrés"},{"family":"González</w:instrText>
      </w:r>
      <w:r w:rsidR="00934C7A">
        <w:rPr>
          <w:rFonts w:hint="eastAsia"/>
        </w:rPr>
        <w:instrText>‐</w:instrText>
      </w:r>
      <w:r w:rsidR="00934C7A">
        <w:rPr>
          <w:rFonts w:hint="eastAsia"/>
        </w:rPr>
        <w:instrText>Robles","given":"Ana"},{"family":"Graae","given":"Bent</w:instrText>
      </w:r>
      <w:r w:rsidR="00934C7A">
        <w:instrText>e Jessen"},{"family":"Granda","given":"Elena"},{"family":"Graves","given":"Sarah"},{"family":"Green","given":"Walton A."},{"family":"Gregor","given":"Thomas"},{"family":"Gross","given":"Nicolas"},{"family":"Guerin","given":"Greg R."},{"family":"Günther","given":"Angela"},{"family":"Gutiérrez","given":"Alvaro G."},{"family":"Haddock","given":"Lillie"},{"family":"Haines","given":"Anna"},{"family":"Hall","given":"Jefferson"},{"family":"Hambuckers","given":"Alain"},{"family":"Han","given":"Wenxuan"},{"family":"Harrison","given":"Sandy P."},{"family":"Hattingh","given":"Wesley"},{"family":"Hawes","given":"Joseph E."},{"family":"He","given":"Tianhua"},{"family":"He","given":"Pengcheng"},{"family":"Heberling","given":"Jacob Mason"},{"family":"Helm","given":"Avel</w:instrText>
      </w:r>
      <w:r w:rsidR="00934C7A">
        <w:rPr>
          <w:rFonts w:hint="eastAsia"/>
        </w:rPr>
        <w:instrText>iina"},{"family":"Hempel","given":"Stefan"},{"family":"Hentschel","given":"Jörn"},{"family":"Hérault","given":"Bruno"},{"family":"Hereş","given":"Ana</w:instrText>
      </w:r>
      <w:r w:rsidR="00934C7A">
        <w:rPr>
          <w:rFonts w:hint="eastAsia"/>
        </w:rPr>
        <w:instrText>‐</w:instrText>
      </w:r>
      <w:r w:rsidR="00934C7A">
        <w:rPr>
          <w:rFonts w:hint="eastAsia"/>
        </w:rPr>
        <w:instrText>Maria"},{"family":"Herz","given":"Katharina"},{"family":"Heuertz","given":"Myriam"},{"family":"Hickler","</w:instrText>
      </w:r>
      <w:r w:rsidR="00934C7A">
        <w:instrText>given":"Thomas"},{"family":"Hietz","given":"Peter"},{"family":"Higuchi","given":"Pedro"},{"family":"Hipp","given":"Andrew L."},{"family":"Hirons","given":"Andrew"},{"family":"Hock","given":"Maria"},{"family":"Hogan","given":"James Aaron"},{"family":"Holl"</w:instrText>
      </w:r>
      <w:r w:rsidR="00934C7A">
        <w:rPr>
          <w:rFonts w:hint="eastAsia"/>
        </w:rPr>
        <w:instrText>,"given":"Karen"},{"family":"Honnay","given":"Olivier"},{"family":"Hornstein","given":"Daniel"},{"family":"Hou","given":"Enqing"},{"family":"Hough</w:instrText>
      </w:r>
      <w:r w:rsidR="00934C7A">
        <w:rPr>
          <w:rFonts w:hint="eastAsia"/>
        </w:rPr>
        <w:instrText>‐</w:instrText>
      </w:r>
      <w:r w:rsidR="00934C7A">
        <w:rPr>
          <w:rFonts w:hint="eastAsia"/>
        </w:rPr>
        <w:instrText>Snee","given":"Nate"},{"family":"Hovstad","given":"Knut Anders"},{"family":"Ichie","given":"Tomoaki"},{"fami</w:instrText>
      </w:r>
      <w:r w:rsidR="00934C7A">
        <w:instrText>ly":"Igić","given":"Boris"},{"family":"Illa","given":"Estela"},{"family":"Isaac","given":"Marney"},{"family":"Ishihara","given":"Masae"},{"family":"Ivanov","given":"Leonid"},{"family":"Ivanova","given":"Larissa"},{"family":"Iversen","given":"Colleen M."},{"family":"Izquierdo","given":"Jordi"},{"family":"Jackson","given":"Robert B."},{"family":"Jackson","given":"Benjamin"},{"family":"Jactel","given":"Hervé"},{"family":"Jagodzinski","given":"Andrzej M."},{"family":"Jandt","given":"Ute"},{"family":"Jansen","</w:instrText>
      </w:r>
      <w:r w:rsidR="00934C7A">
        <w:rPr>
          <w:rFonts w:hint="eastAsia"/>
        </w:rPr>
        <w:instrText>given":"Steven"},{"family":"Jenkins","given":"Thomas"},{"family":"Jentsch","given":"Anke"},{"family":"Jespersen","given":"Jens Rasmus Plantener"},{"family":"Jiang","given":"Guo</w:instrText>
      </w:r>
      <w:r w:rsidR="00934C7A">
        <w:rPr>
          <w:rFonts w:hint="eastAsia"/>
        </w:rPr>
        <w:instrText>‐</w:instrText>
      </w:r>
      <w:r w:rsidR="00934C7A">
        <w:rPr>
          <w:rFonts w:hint="eastAsia"/>
        </w:rPr>
        <w:instrText>Feng"},{"family":"Johansen","given":"Jesper Liengaard"},{"family":"Johnson","g</w:instrText>
      </w:r>
      <w:r w:rsidR="00934C7A">
        <w:instrText>iven":"David"},{"family":"Jokela","given":"Eric J."},{"family":"Joly","given":"Carlos Alfredo"},{"family":"Jordan","given":"Gregory J."},{"family":"Joseph","given":"Grant Stuart"},{"family":"Junaedi","given":"Decky"},{"family":"Junker","given":"Robert R."},{"family":"Justes","given":"Eric"},{"family":"Kabzems","given":"Richard"},{"family":"Kane","given":"Jeffrey"},{"family":"Kaplan","given":"Zdenek"},{"family":"Kattenborn","given":"Teja"},{"family":"Kavelenova","given":"Lyudmila"},{"family":"Kearsley","given":"Elizabeth"},{"family":"Kempel","given":"Anne"},{"family":"Kenzo","given":"Tanaka"},{"family":"Kerkhoff","given":"Andrew"},{"family":"Khalil","given":"Mohammed I."},{"family":"Kinlock","given":"Nicole L."},{"family":"Kissling","given":"Wilm Daniel"},{"family":"Kitajima","given":"Kaoru"},{"family":"Kitzberger","given":"Thomas"},{"family":"Kjøller","given":"Rasmus"},{"family":"Klein","given":"Tamir"},{"family":"Kleyer","given":"Michael"},{"family":"Klimešová","given":"Jitka"},{"family":"Klipel","given":"Joice"},{"family":"Kloeppel","given":"Brian"},{"family":"Klotz","given":"Stefan"},{"family":"Knops","given":"Johannes M. H."},{"family":"Kohyama","given":"Takashi"},{"family":"Koike","given":"Fumito"},{"family":"Kollmann","given":"Johannes"},{"family":"Komac","given":"Benjamin"},{"family":"Komatsu","given":"Kimberly"},{"family":"König","given":"Christian"},{"family":"Kraft","given":"Nathan J. B."},{"family":"Kramer","given":"Koen"},{"family":"Kreft","given":"Holger"},{"family":"Kühn","given":"Ingolf"},{</w:instrText>
      </w:r>
      <w:r w:rsidR="00934C7A">
        <w:rPr>
          <w:rFonts w:hint="eastAsia"/>
        </w:rPr>
        <w:instrText>"family":"Kumarathunge","given":"Dushan"},{"family":"Kuppler","given":"Jonas"},{"family":"Kurokawa","given":"Hiroko"},{"family":"Kurosawa","given":"Yoko"},{"family":"Kuyah","given":"Shem"},{"family":"Laclau","given":"Jean</w:instrText>
      </w:r>
      <w:r w:rsidR="00934C7A">
        <w:rPr>
          <w:rFonts w:hint="eastAsia"/>
        </w:rPr>
        <w:instrText>‐</w:instrText>
      </w:r>
      <w:r w:rsidR="00934C7A">
        <w:rPr>
          <w:rFonts w:hint="eastAsia"/>
        </w:rPr>
        <w:instrText>Paul"},{"family":"Lafleur","given":"Benoit"},{"family":"Lallai","given":"Erik"},{"family":"Lamb","given":"Eric"},{"family":"Lamprecht","given":"Andrea"},{"family":"Larkin","given":"Daniel J."},{"family":"Laughlin","given":"Daniel"},{"family":"Le Bagousse</w:instrText>
      </w:r>
      <w:r w:rsidR="00934C7A">
        <w:rPr>
          <w:rFonts w:hint="eastAsia"/>
        </w:rPr>
        <w:instrText>‐</w:instrText>
      </w:r>
      <w:r w:rsidR="00934C7A">
        <w:rPr>
          <w:rFonts w:hint="eastAsia"/>
        </w:rPr>
        <w:instrText>Pinguet","given":"Yoann"},{"famil</w:instrText>
      </w:r>
      <w:r w:rsidR="00934C7A">
        <w:instrText>y":"Maire","given":"Guerric"},{"family":"Roux","given":"Peter C."},{"family":"Roux","given":"Elizabeth"},{"family":"Lee","given":"Tali"},{"family":"Lens","given":"Frederic"},{"family":"Lewis","given":"Simon L."},{"family":"Lhotsky","given":"Barbara"},{"fa</w:instrText>
      </w:r>
      <w:r w:rsidR="00934C7A">
        <w:rPr>
          <w:rFonts w:hint="eastAsia"/>
        </w:rPr>
        <w:instrText>mily":"Li","given":"Yuanzhi"},{"family":"Li","given":"Xine"},{"family":"Lichstein","given":"Jeremy W."},{"family":"Liebergesell","given":"Mario"},{"family":"Lim","given":"Jun Ying"},{"family":"Lin","given":"Yan</w:instrText>
      </w:r>
      <w:r w:rsidR="00934C7A">
        <w:rPr>
          <w:rFonts w:hint="eastAsia"/>
        </w:rPr>
        <w:instrText>‐</w:instrText>
      </w:r>
      <w:r w:rsidR="00934C7A">
        <w:rPr>
          <w:rFonts w:hint="eastAsia"/>
        </w:rPr>
        <w:instrText>Shih"},{"family":"Linares","given":"Juan Carlos"},{"family":"Liu","given":"Chunjiang"},{"family":"Liu","given":"Daijun"},{"family":"Liu","given":"Udayangani"},{"family":"Livingstone","given":"Stuart"},{"family":"Llusià","given":"Joan"},{"family":"Lohbeck","given":"Madelon"},{"family":"López</w:instrText>
      </w:r>
      <w:r w:rsidR="00934C7A">
        <w:rPr>
          <w:rFonts w:hint="eastAsia"/>
        </w:rPr>
        <w:instrText>‐</w:instrText>
      </w:r>
      <w:r w:rsidR="00934C7A">
        <w:rPr>
          <w:rFonts w:hint="eastAsia"/>
        </w:rPr>
        <w:instrText>García","given":"Álvaro"},{"family":"Lopez</w:instrText>
      </w:r>
      <w:r w:rsidR="00934C7A">
        <w:rPr>
          <w:rFonts w:hint="eastAsia"/>
        </w:rPr>
        <w:instrText>‐</w:instrText>
      </w:r>
      <w:r w:rsidR="00934C7A">
        <w:rPr>
          <w:rFonts w:hint="eastAsia"/>
        </w:rPr>
        <w:instrText>Gonzalez","given":"Gabriela"},{"family":"Lososová","given":"Zdeňka"},{"family":"Louault","given":"Frédérique"},{"family":"Lukács","given":"Balázs A."},{"family":"Lukeš","given":"Petr"},{"family":"Luo","given":"Yunjian"}</w:instrText>
      </w:r>
      <w:r w:rsidR="00934C7A">
        <w:instrText>,{"family":"Lussu","given":"Michele"},{"family":"Ma","given":"Siyan"},{"family":"Maciel Rabelo Pereira","given":"Camilla"},{"family":"Mack","given":"Michelle"},{"family":"Maire","given":"Vincent"},{"family":"Mäkelä","given":"Annikki"},{"family":"Mäkinen","given":"Harri"},{"family":"Malhado","given":"Ana Claudia Mendes"},{"family":"Mallik","given":"Azim"},{"family":"Manning","given":"Peter"},{"family":"Manzoni","given":"Stefano"},{"family":"Marchetti","given":"Zuleica"},{"family":"Marchino","given":"Luca"}</w:instrText>
      </w:r>
      <w:r w:rsidR="00934C7A">
        <w:rPr>
          <w:rFonts w:hint="eastAsia"/>
        </w:rPr>
        <w:instrText>,{"family":"Marcilio</w:instrText>
      </w:r>
      <w:r w:rsidR="00934C7A">
        <w:rPr>
          <w:rFonts w:hint="eastAsia"/>
        </w:rPr>
        <w:instrText>‐</w:instrText>
      </w:r>
      <w:r w:rsidR="00934C7A">
        <w:rPr>
          <w:rFonts w:hint="eastAsia"/>
        </w:rPr>
        <w:instrText>Silva","given":"Vinicius"},{"family":"Marcon","given":"Eric"},{"family":"Marignani","given":"Michela"},{"family":"Markesteijn","given":"Lars"},{"family":"Martin","given":"Adam"},{"family":"Martínez</w:instrText>
      </w:r>
      <w:r w:rsidR="00934C7A">
        <w:rPr>
          <w:rFonts w:hint="eastAsia"/>
        </w:rPr>
        <w:instrText>‐</w:instrText>
      </w:r>
      <w:r w:rsidR="00934C7A">
        <w:rPr>
          <w:rFonts w:hint="eastAsia"/>
        </w:rPr>
        <w:instrText>Garza","given":"Cristina"},{"family":"Martínez</w:instrText>
      </w:r>
      <w:r w:rsidR="00934C7A">
        <w:rPr>
          <w:rFonts w:hint="eastAsia"/>
        </w:rPr>
        <w:instrText>‐</w:instrText>
      </w:r>
      <w:r w:rsidR="00934C7A">
        <w:rPr>
          <w:rFonts w:hint="eastAsia"/>
        </w:rPr>
        <w:instrText>Vilalta","given":"Jordi"},{"family":"Mašková","given":"Tereza"},{"family":"Mason","given":"Kelly"},{"family":"Mason","given":"Norman"},{"family":"Massad","given":"Tara Joy"},{"family":"Masse","given":"Jacynthe"},{"family":"Mayrose","given":"Ita</w:instrText>
      </w:r>
      <w:r w:rsidR="00934C7A">
        <w:instrText>y"},{"family":"McCarthy","given":"James"},{"family":"McCormack","given":"M. Luke"},{"family":"McCulloh","given":"Katherine"},{"family":"McFadden","given":"Ian R."},{"family":"McGill","given":"Brian J."},{"family":"McPartland","given":"Mara Y."},{"family":"Medeiros","given":"Juliana S."},{"family":"Medlyn","given":"Belinda"},{"family":"Meerts","given":"Pierre"},{"family":"Mehrabi","given":"Zia"},{"family":"Meir","given":"Patrick"},{"family":"Melo","given":"Felipe P. L."},{"family":"Mencuccini","given":"Maurizio"},{"family":"Meredieu","given":"Céline"},{"family":"Messier","given":"Julie"},{"family":"Mészáros","given":"Ilona"},{"family":"Metsaranta","given":"Juha"},{"family":"Michaletz","given":"Sean T."},{"family":"Michelaki","given":"Chrysanthi"},{"family":"Migalina","given":"Svetlana"},{"family":"Milla","given":"Ruben"},{"family":"Miller","given":"Jesse E. D."},{"family":"Minden","given":"Vanessa"},{"family":"Ming","given":"Ray"},{"family":"Mokany","given":"Karel"},{"family":"Moles","given":"Angela T."},{</w:instrText>
      </w:r>
      <w:r w:rsidR="00934C7A">
        <w:rPr>
          <w:rFonts w:hint="eastAsia"/>
        </w:rPr>
        <w:instrText>"family":"Molnár","given":"Attila"},{"family":"Molofsky","given":"Jane"},{"family":"Molz","given":"Martin"},{"family":"Montgomery","given":"Rebecca A."},{"family":"Monty","given":"Arnaud"},{"family":"Moravcová","given":"Lenka"},{"family":"Moreno</w:instrText>
      </w:r>
      <w:r w:rsidR="00934C7A">
        <w:rPr>
          <w:rFonts w:hint="eastAsia"/>
        </w:rPr>
        <w:instrText>‐</w:instrText>
      </w:r>
      <w:r w:rsidR="00934C7A">
        <w:rPr>
          <w:rFonts w:hint="eastAsia"/>
        </w:rPr>
        <w:instrText>Martínez"</w:instrText>
      </w:r>
      <w:r w:rsidR="00934C7A">
        <w:instrText>,"given":"Alvaro"},{"family":"Moretti","given":"Marco"},{"family":"Mori","given":"Akira S."},{"family":"Mori","given":"Shigeta"},{"family":"Morris","given":"Dave"},{"family":"Morrison","given":"Jane"},{"family":"Mucina","given":"Ladislav"},{"family":"Muel</w:instrText>
      </w:r>
      <w:r w:rsidR="00934C7A">
        <w:rPr>
          <w:rFonts w:hint="eastAsia"/>
        </w:rPr>
        <w:instrText>ler","given":"Sandra"},{"family":"Muir","given":"Christopher D."},{"family":"Müller","given":"Sandra Cristina"},{"family":"Munoz","given":"François"},{"family":"Myers</w:instrText>
      </w:r>
      <w:r w:rsidR="00934C7A">
        <w:rPr>
          <w:rFonts w:hint="eastAsia"/>
        </w:rPr>
        <w:instrText>‐</w:instrText>
      </w:r>
      <w:r w:rsidR="00934C7A">
        <w:rPr>
          <w:rFonts w:hint="eastAsia"/>
        </w:rPr>
        <w:instrText>Smith","given":"Isla H."},{"family":"Myster","given":"Randall W."},{"family":"Nagano","g</w:instrText>
      </w:r>
      <w:r w:rsidR="00934C7A">
        <w:instrText>iven":"Masahiro"},{"family":"Naidu","given":"Shawna"},{"family":"Narayanan","given":"Ayyappan"},{"family":"Natesan","given":"Balachandran"},{"family":"Negoita","given":"Luka"},{"family":"Nelson","given":"Andrew S."},{"family":"Neuschulz","given":"Eike Lena"},{"family":"Ni","given":"Jian"},{"family":"Niedrist","given":"Georg"},{"family":"Nieto","given":"Jhon"},{"family":"Niinemets","given":"Ülo"},{"family":"Nolan","given":"Rachael"},{"family":"Nottebrock","given":"Henning"},{"family":"Nouvellon","given":"Y</w:instrText>
      </w:r>
      <w:r w:rsidR="00934C7A">
        <w:rPr>
          <w:rFonts w:hint="eastAsia"/>
        </w:rPr>
        <w:instrText>ann"},{"family":"Novakovskiy","given":"Alexander"},{"literal":"The Nutrient Network"},{"family":"Nystuen","given":"Kristin Odden"},{"family":"O'Grady","given":"Anthony"},{"family":"O'Hara","given":"Kevin"},{"family":"O'Reilly</w:instrText>
      </w:r>
      <w:r w:rsidR="00934C7A">
        <w:rPr>
          <w:rFonts w:hint="eastAsia"/>
        </w:rPr>
        <w:instrText>‐</w:instrText>
      </w:r>
      <w:r w:rsidR="00934C7A">
        <w:rPr>
          <w:rFonts w:hint="eastAsia"/>
        </w:rPr>
        <w:instrText>Nugent","given":"Andrew"},{"f</w:instrText>
      </w:r>
      <w:r w:rsidR="00934C7A">
        <w:instrText>amily":"Oakley","given":"Simon"},{"family":"Oberhuber","given":"Walter"},{"family":"Ohtsuka","given":"Toshiyuki"},{"family":"Oliveira","given":"Ricardo"},{"family":"Öllerer","given":"Kinga"},{"family":"Olson","given":"Mark E."},{"family":"Onipchenko","given":"Vladimir"},{"family":"Onoda","given":"Yusuke"},{"family":"Onstein","given":"Renske E."},{"family":"Ordonez","given":"Jenny C."},{"family":"Osada","given":"Noriyuki"},{"family":"Ostonen","given":"Ivika"},{"family":"Ottaviani","given":"Gianluigi"},{"family":"Otto","given":"Sarah"},{"family":"Overbeck","given":"Gerhard E."},{"family":"Ozinga","given":"Wim A."},{"family":"Pahl","given":"Anna T."},{"family":"Paine","given":"C. E. Timothy"},{"family":"Pakeman","given":"Robin J."},{"family":"Papageorgiou","given":"Aristotelis C."},{"family":"Parfionova","given":"Evgeniya"},{"family":"Pärtel","given":"Meelis"},{"family":"Patacca","given":"Marco"},{"family":"Paula","given":"Susana"},{"family":"Paule","given":"Juraj"},{"family":"Pauli","given":"Harald"},{"fami</w:instrText>
      </w:r>
      <w:r w:rsidR="00934C7A">
        <w:rPr>
          <w:rFonts w:hint="eastAsia"/>
        </w:rPr>
        <w:instrText>ly":"Pausas","given":"Juli G."},{"family":"Peco","given":"Begoña"},{"family":"Penuelas","given":"Josep"},{"family":"Perea","given":"Antonio"},{"family":"Peri","given":"Pablo Luis"},{"family":"Petisco</w:instrText>
      </w:r>
      <w:r w:rsidR="00934C7A">
        <w:rPr>
          <w:rFonts w:hint="eastAsia"/>
        </w:rPr>
        <w:instrText>‐</w:instrText>
      </w:r>
      <w:r w:rsidR="00934C7A">
        <w:rPr>
          <w:rFonts w:hint="eastAsia"/>
        </w:rPr>
        <w:instrText>Souza","given":"Ana Carolina"},{"family":"Petraglia","g</w:instrText>
      </w:r>
      <w:r w:rsidR="00934C7A">
        <w:instrText>iven":"Alessandro"},{"family":"Petritan","given":"Any Mary"},{"family":"Phillips","given":"Oliver L."},{"family":"Pierce","given":"Simon"},{"family":"Pillar","given":"Valério D."},{"family":"Pisek","given":"Jan"},{"family":"Pomogaybin","given":"Alexandr"},{"family":"Poorter","given":"Hendrik"},{"family":"Portsmuth","given":"Angelika"},{"family":"Poschlod","given":"Peter"},{"family":"Potvin","given":"Catherine"},{"family":"Pounds","given":"Devon"},{"family":"Powell","given":"A. Shafer"},{"family":"Power","given":"Sally A."},{"family":"Prinzing","given":"Andreas"},{"family":"Puglielli","given":"Giacomo"},{"family":"Pyšek","given":"Petr"},{"family":"Raevel","given":"Valerie"},{"family":"Rammig","given":"Anja"},{"family":"Ransijn","given":"Johannes"},{"family</w:instrText>
      </w:r>
      <w:r w:rsidR="00934C7A">
        <w:rPr>
          <w:rFonts w:hint="eastAsia"/>
        </w:rPr>
        <w:instrText>":"Ray","given":"Courtenay A."},{"family":"Reich","given":"Peter B."},{"family":"Reichstein","given":"Markus"},{"family":"Reid","given":"Douglas E. B."},{"family":"Réjou</w:instrText>
      </w:r>
      <w:r w:rsidR="00934C7A">
        <w:rPr>
          <w:rFonts w:hint="eastAsia"/>
        </w:rPr>
        <w:instrText>‐</w:instrText>
      </w:r>
      <w:r w:rsidR="00934C7A">
        <w:rPr>
          <w:rFonts w:hint="eastAsia"/>
        </w:rPr>
        <w:instrText>Méchain","given":"Maxime"},{"family":"Dios","given":"Victor Resco"},{"family":"Ribeir</w:instrText>
      </w:r>
      <w:r w:rsidR="00934C7A">
        <w:instrText>o","given":"Sabina"},{"family":"Richardson","given":"Sarah"},{"family":"Riibak","given":"Kersti"},{"family":"Rillig","given":"Matthias C."},{"family":"Riviera","given":"Fiamma"},{"family":"Robert","given":"Elisabeth M. R."},{"family":"Roberts","given":"Scott"},{"family":"Robroek","given":"Bjorn"},{"family":"Roddy","given":"Adam"},{"family":"Rodrigues","given":"Arthur Vinicius"},{"family":"Rogers","given":"Alistair"},{"family":"Rollinson","given":"Emily"},{"family":"Rolo","given":"Victor"},{"family":"Römermann","given":"Christine"},{"family":"Ronzhina","given":"Dina"},{"family":"Roscher","given":"Christiane"},{"family":"Rosell","given":"Julieta A."},{"family":"Rosenfield","given":"Milena Fermina"},{"family":"Rossi","given":"Christian"},{"family":"Roy","giv</w:instrText>
      </w:r>
      <w:r w:rsidR="00934C7A">
        <w:rPr>
          <w:rFonts w:hint="eastAsia"/>
        </w:rPr>
        <w:instrText>en":"David B."},{"family":"Royer</w:instrText>
      </w:r>
      <w:r w:rsidR="00934C7A">
        <w:rPr>
          <w:rFonts w:hint="eastAsia"/>
        </w:rPr>
        <w:instrText>‐</w:instrText>
      </w:r>
      <w:r w:rsidR="00934C7A">
        <w:rPr>
          <w:rFonts w:hint="eastAsia"/>
        </w:rPr>
        <w:instrText>Tardif","given":"Samuel"},{"family":"Rüger","given":"Nadja"},{"family":"Ruiz</w:instrText>
      </w:r>
      <w:r w:rsidR="00934C7A">
        <w:rPr>
          <w:rFonts w:hint="eastAsia"/>
        </w:rPr>
        <w:instrText>‐</w:instrText>
      </w:r>
      <w:r w:rsidR="00934C7A">
        <w:rPr>
          <w:rFonts w:hint="eastAsia"/>
        </w:rPr>
        <w:instrText>Peinado","given":"Ricardo"},{"family":"Rumpf","given":"Sabine B."},{"family":"Rusch","given":"Graciela M."},{"family":"Ryo","given":"Masahiro"},{"family":"Sack","given":"Lawren"},{"family":"Saldaña","given":"Angela"},{"family":"Salgado</w:instrText>
      </w:r>
      <w:r w:rsidR="00934C7A">
        <w:rPr>
          <w:rFonts w:hint="eastAsia"/>
        </w:rPr>
        <w:instrText>‐</w:instrText>
      </w:r>
      <w:r w:rsidR="00934C7A">
        <w:rPr>
          <w:rFonts w:hint="eastAsia"/>
        </w:rPr>
        <w:instrText>Negret","given":"Beatriz"},{"family":"Salguero</w:instrText>
      </w:r>
      <w:r w:rsidR="00934C7A">
        <w:rPr>
          <w:rFonts w:hint="eastAsia"/>
        </w:rPr>
        <w:instrText>‐</w:instrText>
      </w:r>
      <w:r w:rsidR="00934C7A">
        <w:rPr>
          <w:rFonts w:hint="eastAsia"/>
        </w:rPr>
        <w:instrText>Gomez","given":"Roberto"},{"family":"Santa</w:instrText>
      </w:r>
      <w:r w:rsidR="00934C7A">
        <w:rPr>
          <w:rFonts w:hint="eastAsia"/>
        </w:rPr>
        <w:instrText>‐</w:instrText>
      </w:r>
      <w:r w:rsidR="00934C7A">
        <w:rPr>
          <w:rFonts w:hint="eastAsia"/>
        </w:rPr>
        <w:instrText>Regina","given":"Ignacio"},{"family":"Santacruz</w:instrText>
      </w:r>
      <w:r w:rsidR="00934C7A">
        <w:rPr>
          <w:rFonts w:hint="eastAsia"/>
        </w:rPr>
        <w:instrText>‐</w:instrText>
      </w:r>
      <w:r w:rsidR="00934C7A">
        <w:rPr>
          <w:rFonts w:hint="eastAsia"/>
        </w:rPr>
        <w:instrText>García","given":"Ana Carolina"},{"family":"Santos","given":"Joaquim"},{"family":"Sardans","given":"Jordi"},{"family":"Schamp","given":"Brandon"},{"family":"Scherer</w:instrText>
      </w:r>
      <w:r w:rsidR="00934C7A">
        <w:rPr>
          <w:rFonts w:hint="eastAsia"/>
        </w:rPr>
        <w:instrText>‐</w:instrText>
      </w:r>
      <w:r w:rsidR="00934C7A">
        <w:rPr>
          <w:rFonts w:hint="eastAsia"/>
        </w:rPr>
        <w:instrText>Lorenzen","given":"Michael"},{"family":"Schleuning","given":"Matthias"},{"family":"Schmid","given":"Bernhard"},{"fami</w:instrText>
      </w:r>
      <w:r w:rsidR="00934C7A">
        <w:instrText>ly":"Schmidt","given":"Marco"},{"family":"Schmitt","given":"Sylvain"},{"family":"Schneider","given":"Julio V."},{"family":"Schowanek","given":"Simon D."},{"family":"Schrader","given":"Julian"},{"family":"Schrodt","given":"Franziska"},{"family":"Schuldt","given":"Bernhard"},{"family":"Schurr","given":"Frank"},{"family":"Selaya Garvizu","given":"Galia"},{"family":"Semchenko","given":"Marina"},{"family":"Seymour","given":"Colleen"},{"family":"Sfair","given":"Julia C."},{"family":"Sharpe","given":"Joanne M."},{"family":"Sheppard","given":"Christine S."},{"family":"Sheremetiev","given":"Serge"},{"family":"Shiodera","given":"Satomi"},{"family":"Shipley","given":"Bill"},{"family":"Shovon","given":"Tanvir Ahmed"},{"family":"Siebenkäs","given":"Alrun"},{"family":"Sierra","given":"Carlos"},{"family":"Silva","given":"Vasco"},{"family":"Silva","given":"Mateus"},{"family":"Sitzia","given":"Tommaso"},{"family":"Sjöman","given":"Henrik"},{"family":"Slot","given":"Martijn"},{"family":"Smith","given":"Nicholas G."},{"family":"Sodhi","given":"Darwin"},{"family":"Soltis","given":"Pamela"},{"family":"Soltis","given":"Douglas"},{"family":"Somers","given":"Ben"},{"family":"Sonnier","given":"Grégory"},{"family":"Sørensen","given":"Mia Vedel"},{"family":"Sosinski","given":"Enio Egon"},{"family":"Soudzilovskaia","given":"Nadejda A."},{"family":"Souza","given":"Alexandre F."},{"family":"Spasojevic","given":"Marko"},{"family":"Sperandii","given":"Marta Gaia"},{"family":"Stan","given":"Amanda B."},{"family":"Stegen","given":"James"},{"family":"Steinbauer","given":"Klaus"},{"family":"Stephan","given":"Jörg G."},{"family":"Sterck","given":"Frank"},{"family":"Stojanovic","given":"Dejan B."},{"family":"Strydom","given":"Tanya"},{"family":"Suarez","given":"Maria Laura"},{"family":"Svenni</w:instrText>
      </w:r>
      <w:r w:rsidR="00934C7A">
        <w:rPr>
          <w:rFonts w:hint="eastAsia"/>
        </w:rPr>
        <w:instrText>ng","given":"Jens</w:instrText>
      </w:r>
      <w:r w:rsidR="00934C7A">
        <w:rPr>
          <w:rFonts w:hint="eastAsia"/>
        </w:rPr>
        <w:instrText>‐</w:instrText>
      </w:r>
      <w:r w:rsidR="00934C7A">
        <w:rPr>
          <w:rFonts w:hint="eastAsia"/>
        </w:rPr>
        <w:instrText>Christian"},{"family":"Svitková","given":"Ivana"},{"family":"Svitok","given":"Marek"},{"family":"Svoboda","given":"Miroslav"},{"family":"Swaine","given":"Emily"},{"family":"Swenson","given":"Nathan"},{"family":"Tabarelli","given":"Marcel</w:instrText>
      </w:r>
      <w:r w:rsidR="00934C7A">
        <w:instrText>o"},{"family":"Takagi","given":"Kentaro"},{"family":"Tappeiner","given":"Ulrike"},{"family":"Tarifa","given":"Rubén"},{"family":"Tauugourdeau","given":"Simon"},{"family":"Tavsanoglu","given":"Cagatay"},{"family":"Beest","given":"Mariska"},{"family":"Tedersoo","given":"Leho"},{"family":"Thiffault","given":"Nelson"},{"family":"Thom","given":"Dominik"},{"family":"Thomas","given":"Evert"},{"family":"Thompson","given":"Ken"},{"family":"Thornton","given":"Peter E."},{"family":"Thuiller","given":"Wilfried"},{"family":"Tichý","given":"Lubomír"},{"family":"Tissue","given":"David"},{"family":"Tjoelker","given":"Mark G."},{"family":"Tng","given":"David Yue Phin"},{"family":"Tobias","given":"Joseph"},{"family":"Török","given":"Péter"},{"family":"Tarin","given":"Tonan</w:instrText>
      </w:r>
      <w:r w:rsidR="00934C7A">
        <w:rPr>
          <w:rFonts w:hint="eastAsia"/>
        </w:rPr>
        <w:instrText>tzin"},{"family":"Torres</w:instrText>
      </w:r>
      <w:r w:rsidR="00934C7A">
        <w:rPr>
          <w:rFonts w:hint="eastAsia"/>
        </w:rPr>
        <w:instrText>‐</w:instrText>
      </w:r>
      <w:r w:rsidR="00934C7A">
        <w:rPr>
          <w:rFonts w:hint="eastAsia"/>
        </w:rPr>
        <w:instrText>Ruiz","given":"José M."},{"family":"Tóthmérész","given":"Béla"},{"family":"Treurnicht","given":"Martina"},{"family":"Trivellone","given":"Valeria"},{"family":"Trolliet","given":"Franck"},{"family":"Trotsiuk","given":"Volodymyr"},{</w:instrText>
      </w:r>
      <w:r w:rsidR="00934C7A">
        <w:instrText>"family":"Tsakalos","given":"James L."},{"family":"Tsiripidis","given":"Ioannis"},{"family":"Tysklind","given":"Niklas"},{"family":"Umehara","given":"Toru"},{"family":"Usoltsev","given":"Vladimir"},{"family":"Vadeboncoeur","given":"Matthew"},{"family":"Vaezi","given":"Jamil"},{"family":"Valladares","given":"Fernando"},{"family":"Vamosi","given":"Jana"},{"family":"Bodegom","given":"Peter M."},{"family":"Breugel","given":"Michiel"},{"family":"Van Cleemput","given":"Elisa"},{"family":"Weg","given":"Martine"},{"family":"Merwe","given":"Stephni"},{"family":"Plas","given":"Fons"},{"family":"Sande","given":"Masha T."},{"family":"Kleunen","given":"Mark"},{"family":"Van Meerbeek","given":"Koenraad"},{"family":"Vanderwel","given":"Mark"},{"family":"Vanselow","given":"Kim André"},{"family":"Vårhammar","given":"Angelica"},{"family":"Varone","given":"Laura"},{"family":"Vasquez Valderrama","given":"Maribel Yesenia"},{"family":"Vassilev","given":"Kiril"},{"family":"Vellend","given":"Mark"},{"family":"Veneklaas","given":"Erik J."},{"family":"Verbeeck","given":"Hans"},{"family":"Verheyen","given":"Kris"},{"family":"Vibrans","given":"Alexander"},{"family":"Vieira","given":"Ima"},{"family":"Villacís","given":"Jaime"},{"family":"Violle","given":"Cyrille"},{"family":"Vivek","given":"Pandi"},{"family":"Wagner","given":"Katrin"},{"family":"Waldram","given":"Matthew"},{"family":"Waldron","given":"Anthony"},{"family":"Walker","given":"Anthony P."},{"family":"Waller","given":"Martyn"},{"family":"Walther","given":"Gabriel"},{"family":"Wang","given":"Han"},{"family":"Wang","given":"Feng"},{"family":"Wang","given":"Weiqi"},{"family":"Watkins","given":"Harry"},{"family":"Watkins","given":"James"},{"family":"Weber","given":"Ulrich"},{"family":"Weedon","given":"James T."},{"family":"Wei","given":"Liping"},{"family":"Weigelt","given":"Patrick"},{"family":"Weiher","given":"Evan"},{"family":"Wells","given":"Aidan W."},{"family":"Wellstein","given":"Camilla"},{"family":"Wenk","given":"Elizabeth"},{"family":"Westoby","given":"Mark"},{"family":"Westwood","given":"Alana"},{"family":"White","given":"Philip John"},{"family":"Whitten","given":"Mark"},{"family":"Williams","given":"Mathew"},{"family":"Winkler","given":"Daniel E."},{"family":"Winter","given":"Klaus"},{"family":"Womack","given":"Chevonne"},{"family":"Wright","given":"Ian J."},{"family":"Wright","given":"S. Joseph"},{"family":"Wright","given":"Justin"},{"family":"Pinho","given":"Bruno X."},{"family":"Ximenes","given":"Fabiano"},{"family":"Yamada","given":"Toshihiro"},{"family":"Yamaji","given":"Keiko"},{"family":"Yanai","given":"Ruth"},{"family":"Yankov","given":"Nikolay"},{"family":"Yguel","given":"Benjamin"},{"family":"Zanini","given":"Kátia Janaina"},{"family":"Zanne","given":"Amy E."},{"family":"Zelený","given":"David"},{"family":</w:instrText>
      </w:r>
      <w:r w:rsidR="00934C7A">
        <w:rPr>
          <w:rFonts w:hint="eastAsia"/>
        </w:rPr>
        <w:instrText>"Zhao","given":"Yun</w:instrText>
      </w:r>
      <w:r w:rsidR="00934C7A">
        <w:rPr>
          <w:rFonts w:hint="eastAsia"/>
        </w:rPr>
        <w:instrText>‐</w:instrText>
      </w:r>
      <w:r w:rsidR="00934C7A">
        <w:rPr>
          <w:rFonts w:hint="eastAsia"/>
        </w:rPr>
        <w:instrText>Peng"},{"family":"Zheng","given":"Jingming"},{"family":"Zheng","given":"Ji"},{"family":"Ziemińska","given":"Kasia"},{"family":"Zirbel","given":"Chad R."},{"family":"Zizka","given":"Georg"},{"family":"Zo</w:instrText>
      </w:r>
      <w:r w:rsidR="00934C7A">
        <w:rPr>
          <w:rFonts w:hint="eastAsia"/>
        </w:rPr>
        <w:instrText>‐</w:instrText>
      </w:r>
      <w:r w:rsidR="00934C7A">
        <w:rPr>
          <w:rFonts w:hint="eastAsia"/>
        </w:rPr>
        <w:instrText>Bi","given":"Irié Casimir"},{"fa</w:instrText>
      </w:r>
      <w:r w:rsidR="00934C7A">
        <w:instrText xml:space="preserve">mily":"Zotz","given":"Gerhard"},{"family":"Wirth","given":"Christian"}],"issued":{"date-parts":[["2020",1]]}}}],"schema":"https://github.com/citation-style-language/schema/raw/master/csl-citation.json"} </w:instrText>
      </w:r>
      <w:r>
        <w:fldChar w:fldCharType="separate"/>
      </w:r>
      <w:r w:rsidR="00934C7A" w:rsidRPr="00934C7A">
        <w:rPr>
          <w:rFonts w:cs="Times New Roman"/>
        </w:rPr>
        <w:t xml:space="preserve">(Kattge </w:t>
      </w:r>
      <w:r w:rsidR="00934C7A" w:rsidRPr="00934C7A">
        <w:rPr>
          <w:rFonts w:cs="Times New Roman"/>
          <w:i/>
          <w:iCs/>
        </w:rPr>
        <w:t>et al.</w:t>
      </w:r>
      <w:r w:rsidR="00934C7A" w:rsidRPr="00934C7A">
        <w:rPr>
          <w:rFonts w:cs="Times New Roman"/>
        </w:rPr>
        <w:t>, 2020)</w:t>
      </w:r>
      <w:r>
        <w:fldChar w:fldCharType="end"/>
      </w:r>
      <w:r>
        <w:t xml:space="preserve"> and BIEN </w:t>
      </w:r>
      <w:r>
        <w:fldChar w:fldCharType="begin"/>
      </w:r>
      <w:r w:rsidR="00934C7A">
        <w:instrText xml:space="preserve"> ADDIN ZOTERO_ITEM CSL_CITATION {"citationID":"dOH0eoq7","properties":{"formattedCitation":"(Maitner {\\i{}et al.}, 2018)","plainCitation":"(Maitner et al., 2018)","noteIndex":0},"citationItems":[{"id":12666,"uris":["http://zotero.org/users/172357/items/6XE659UQ"],"uri":["http://zotero.org/users/172357/items/6XE659UQ"],"itemData":{"id":12666,"type":"article-journal","container-title":"Methods in Ecology and Evolution","DOI":"10.1111/2041-210X.12861","ISSN":"2041-210X, 2041-210X","issue":"2","language":"en","page":"373-379","source":"Crossref","title":"The bien r package: A tool to access the Botanical Information and Ecology Network (BIEN) database","title-short":"The &lt;span style=\"font-variant","volume":"9","author":[{"family":"Maitner","given":"Brian S."},{"family":"Boyle","given":"Brad"},{"family":"Casler","given":"Nathan"},{"family":"Condit","given":"Rick"},{"family":"Donoghue","given":"John"},{"family":"Durán","given":"Sandra M."},{"family":"Guaderrama","given":"Daniel"},{"family":"Hinchliff","given"</w:instrText>
      </w:r>
      <w:r w:rsidR="00934C7A">
        <w:rPr>
          <w:rFonts w:hint="eastAsia"/>
        </w:rPr>
        <w:instrText>:"Cody E."},{"family":"Jørgensen","given":"Peter M."},{"family":"Kraft","given":"Nathan J.B."},{"family":"McGill","given":"Brian"},{"family":"Merow","given":"Cory"},{"family":"Morueta</w:instrText>
      </w:r>
      <w:r w:rsidR="00934C7A">
        <w:rPr>
          <w:rFonts w:hint="eastAsia"/>
        </w:rPr>
        <w:instrText>‐</w:instrText>
      </w:r>
      <w:r w:rsidR="00934C7A">
        <w:rPr>
          <w:rFonts w:hint="eastAsia"/>
        </w:rPr>
        <w:instrText>Holme","given":"Naia"},{"family":"Peet","given":"Robert K."},{"family":"Sandel","given":"Brody"},{"family":"Schildhauer","given":"Mark"},{"family":"Smith","given":"Stephen A."},{"family":"Svenning","given":"Jens</w:instrText>
      </w:r>
      <w:r w:rsidR="00934C7A">
        <w:rPr>
          <w:rFonts w:hint="eastAsia"/>
        </w:rPr>
        <w:instrText>‐</w:instrText>
      </w:r>
      <w:r w:rsidR="00934C7A">
        <w:rPr>
          <w:rFonts w:hint="eastAsia"/>
        </w:rPr>
        <w:instrText>Christian"},{"family":"Thiers","given":"Barbara"},{"family":"Violle","given":"Cyrille"},{"family":"Wiser","given":</w:instrText>
      </w:r>
      <w:r w:rsidR="00934C7A">
        <w:instrText xml:space="preserve">"Susan"},{"family":"Enquist","given":"Brian J."}],"editor":[{"family":"McMahon","given":"Sean"}],"issued":{"date-parts":[["2018",2]]}}}],"schema":"https://github.com/citation-style-language/schema/raw/master/csl-citation.json"} </w:instrText>
      </w:r>
      <w:r>
        <w:fldChar w:fldCharType="separate"/>
      </w:r>
      <w:r w:rsidR="00934C7A" w:rsidRPr="00934C7A">
        <w:rPr>
          <w:rFonts w:cs="Times New Roman"/>
        </w:rPr>
        <w:t xml:space="preserve">(Maitner </w:t>
      </w:r>
      <w:r w:rsidR="00934C7A" w:rsidRPr="00934C7A">
        <w:rPr>
          <w:rFonts w:cs="Times New Roman"/>
          <w:i/>
          <w:iCs/>
        </w:rPr>
        <w:t>et al.</w:t>
      </w:r>
      <w:r w:rsidR="00934C7A" w:rsidRPr="00934C7A">
        <w:rPr>
          <w:rFonts w:cs="Times New Roman"/>
        </w:rPr>
        <w:t>, 2018)</w:t>
      </w:r>
      <w:r>
        <w:fldChar w:fldCharType="end"/>
      </w:r>
      <w:r>
        <w:t xml:space="preserve"> databases on </w:t>
      </w:r>
      <w:r w:rsidRPr="00477FD9">
        <w:t>27</w:t>
      </w:r>
      <w:r>
        <w:t>-</w:t>
      </w:r>
      <w:r w:rsidRPr="00477FD9">
        <w:t>11</w:t>
      </w:r>
      <w:r>
        <w:t>-</w:t>
      </w:r>
      <w:r w:rsidRPr="00477FD9">
        <w:t>2020</w:t>
      </w:r>
      <w:r>
        <w:t xml:space="preserve">. We also gathered maximum plant height from The Manual of Vascular Plants of Northeastern United States and Adjacent Canada </w:t>
      </w:r>
      <w:r>
        <w:fldChar w:fldCharType="begin"/>
      </w:r>
      <w:r w:rsidR="00934C7A">
        <w:instrText xml:space="preserve"> ADDIN ZOTERO_ITEM CSL_CITATION {"citationID":"1WJ2XROG","properties":{"formattedCitation":"(Gleason and Cronquist, 1991)","plainCitation":"(Gleason and Cronquist, 1991)","noteIndex":0},"citationItems":[{"id":12653,"uris":["http://zotero.org/users/172357/items/LTFM8TBX"],"uri":["http://zotero.org/users/172357/items/LTFM8TBX"],"itemData":{"id":12653,"type":"book","publisher":"New York Botanical Garden Bronx, NY","title":"Manual of vascular plants of northeastern United States and adjacent Canada","volume":"834","author":[{"family":"Gleason","given":"Henry Allan"},{"family":"Cronquist","given":"Arthur"}],"issued":{"date-parts":[["1991"]]}}}],"schema":"https://github.com/citation-style-language/schema/raw/master/csl-citation.json"} </w:instrText>
      </w:r>
      <w:r>
        <w:fldChar w:fldCharType="separate"/>
      </w:r>
      <w:r w:rsidR="00934C7A">
        <w:rPr>
          <w:noProof/>
        </w:rPr>
        <w:t>(Gleason and Cronquist, 1991)</w:t>
      </w:r>
      <w:r>
        <w:fldChar w:fldCharType="end"/>
      </w:r>
      <w:r w:rsidRPr="00CC2DA7">
        <w:t xml:space="preserve"> and the database of the Czech Flora </w:t>
      </w:r>
      <w:r>
        <w:fldChar w:fldCharType="begin"/>
      </w:r>
      <w:r>
        <w:instrText xml:space="preserve"> ADDIN ZOTERO_ITEM CSL_CITATION {"citationID":"C1r4hiSG","properties":{"formattedCitation":"(Pladias, n.d.)","plainCitation":"(Pladias, n.d.)","noteIndex":0},"citationItems":[{"id":12654,"uris":["http://zotero.org/users/172357/items/XWSC5ZIF"],"uri":["http://zotero.org/users/172357/items/XWSC5ZIF"],"itemData":{"id":12654,"type":"webpage","title":"Database of the Czech Flora and Vegetation","URL":"https://pladias.cz/","author":[{"literal":"Pladias"}]}}],"schema":"https://github.com/citation-style-language/schema/raw/master/csl-citation.json"} </w:instrText>
      </w:r>
      <w:r>
        <w:fldChar w:fldCharType="separate"/>
      </w:r>
      <w:r w:rsidR="00934C7A">
        <w:rPr>
          <w:noProof/>
        </w:rPr>
        <w:t>(Pladias, n.d.)</w:t>
      </w:r>
      <w:r>
        <w:fldChar w:fldCharType="end"/>
      </w:r>
      <w:r w:rsidRPr="00CC2DA7">
        <w:t xml:space="preserve">. Inside the </w:t>
      </w:r>
      <w:r>
        <w:t>TRY dataset, some leaf traits were measured using different protocols. In those cases, we compared trait values of species for which trait values were available using more than one method. In particular, we found that different ways to measure leaf area were highly correlated (Pearson’s R &gt; 0.72), so we combined them. However, different ways to measure SLA were only moderately correlated (Pearson’s R &lt; 0.65), so we treated each way to measure SLA as a different trait.</w:t>
      </w:r>
    </w:p>
    <w:p w14:paraId="4F858F83" w14:textId="77777777" w:rsidR="00C9256D" w:rsidRDefault="00C9256D" w:rsidP="00C9256D">
      <w:r>
        <w:t xml:space="preserve">We estimated the average trait value per species from each dataset, except for maximum height. For maximum height, we estimated the 90th percentile of the recorded values for each species in each of the two datasets for species with multiple values available. We then tested if the different traits were consistent among datasets for those species present in more than one dataset. We kept only the traits with correlation between datasets larger than 0.6, and those traits for which we have at least 600 different species of the 1823 species included in our dataset. Four traits fulfilled those requirements: </w:t>
      </w:r>
      <w:r w:rsidRPr="00607F58">
        <w:t xml:space="preserve">leaf dry mass per leaf fresh mass </w:t>
      </w:r>
      <w:r>
        <w:t>(</w:t>
      </w:r>
      <w:r w:rsidRPr="00607F58">
        <w:t>615</w:t>
      </w:r>
      <w:r>
        <w:t xml:space="preserve"> species), </w:t>
      </w:r>
      <w:r w:rsidRPr="00607F58">
        <w:t xml:space="preserve">leaf nitrogen content per leaf dry mass </w:t>
      </w:r>
      <w:r>
        <w:t>(</w:t>
      </w:r>
      <w:r w:rsidRPr="00607F58">
        <w:t>676</w:t>
      </w:r>
      <w:r>
        <w:t xml:space="preserve">), </w:t>
      </w:r>
      <w:r w:rsidRPr="00607F58">
        <w:t xml:space="preserve">seed mass </w:t>
      </w:r>
      <w:r>
        <w:t>(</w:t>
      </w:r>
      <w:r w:rsidRPr="00607F58">
        <w:t>1039</w:t>
      </w:r>
      <w:r>
        <w:t xml:space="preserve">) and </w:t>
      </w:r>
      <w:r w:rsidRPr="00607F58">
        <w:t xml:space="preserve">whole plant height </w:t>
      </w:r>
      <w:r>
        <w:t>(</w:t>
      </w:r>
      <w:r w:rsidRPr="00607F58">
        <w:t>906</w:t>
      </w:r>
      <w:r>
        <w:t>). The following analysis were carried independently for each trait.</w:t>
      </w:r>
    </w:p>
    <w:p w14:paraId="51DF7A1E" w14:textId="24EC11DD" w:rsidR="00C9256D" w:rsidRDefault="00C9256D" w:rsidP="00C9256D">
      <w:r>
        <w:t xml:space="preserve">Similar to the phylogenetic analysis, we estimated the mean pairwise Euclidean distance for dominants and non-dominants independently for each trait. As before, the trait dispersion was estimated independently for dominant and non-dominant species in each site, for several cut-offs (each decile, and the 1/3 and 2/3 quantiles), and using the three ranking criteria used before (cover, frequency, cover presence-only). To estimate the standardized effect size, we used the same approach that we used for the phylogenetic analyses, selecting without replacement from the species available in the site the same number of species observed in each dominance category. We did not consider sites with less than 75% of species represented in the trait database in either dominance category. To identify the dominance category cut-off value, we looked among the previously estimated cut-off values and found a cut-off that could satisfy the following conditions: more than 75% of species trait values reported; closest to 1/3 and 2/3 cut-offs to represent the dominant and non-dominant fraction, respectively; and cut-off value no more than 0.15 units away from the targeted value (1/3 or 2/3). We repeated the same procedure using the 1/2 cut-off for dominant and non-dominants. Dominant partitions </w:t>
      </w:r>
      <w:proofErr w:type="gramStart"/>
      <w:r>
        <w:t>were –in general– better represented</w:t>
      </w:r>
      <w:proofErr w:type="gramEnd"/>
      <w:r>
        <w:t xml:space="preserve"> than non-dominant partitions, but it was not rare to find sites for which non-dominants were better represented in the trait dataset (</w:t>
      </w:r>
      <w:r>
        <w:fldChar w:fldCharType="begin"/>
      </w:r>
      <w:r>
        <w:instrText xml:space="preserve"> REF _Ref57503391 \h </w:instrText>
      </w:r>
      <w:r>
        <w:fldChar w:fldCharType="separate"/>
      </w:r>
      <w:r w:rsidRPr="00221EC6">
        <w:t xml:space="preserve">Table </w:t>
      </w:r>
      <w:r>
        <w:t>SI</w:t>
      </w:r>
      <w:r>
        <w:rPr>
          <w:noProof/>
        </w:rPr>
        <w:t>3</w:t>
      </w:r>
      <w:r>
        <w:fldChar w:fldCharType="end"/>
      </w:r>
      <w:r>
        <w:t>). Only sites with enough information in both partitions were included in further analyses.</w:t>
      </w:r>
    </w:p>
    <w:p w14:paraId="055CAF76" w14:textId="77777777" w:rsidR="00C9256D" w:rsidRDefault="00C9256D" w:rsidP="00C9256D"/>
    <w:p w14:paraId="4FC3FE2F" w14:textId="6AF2D5BE" w:rsidR="00C9256D" w:rsidRPr="00221EC6" w:rsidRDefault="00C9256D" w:rsidP="00C53079">
      <w:pPr>
        <w:pStyle w:val="Caption"/>
        <w:keepNext/>
        <w:keepLines/>
      </w:pPr>
      <w:bookmarkStart w:id="7" w:name="_Ref57503391"/>
      <w:r w:rsidRPr="00221EC6">
        <w:t xml:space="preserve">Table </w:t>
      </w:r>
      <w:r>
        <w:t>SI</w:t>
      </w:r>
      <w:r>
        <w:fldChar w:fldCharType="begin"/>
      </w:r>
      <w:r>
        <w:instrText xml:space="preserve"> SEQ Table_SI \* ARABIC </w:instrText>
      </w:r>
      <w:r>
        <w:fldChar w:fldCharType="separate"/>
      </w:r>
      <w:r>
        <w:rPr>
          <w:noProof/>
        </w:rPr>
        <w:t>3</w:t>
      </w:r>
      <w:r>
        <w:fldChar w:fldCharType="end"/>
      </w:r>
      <w:bookmarkEnd w:id="7"/>
      <w:r w:rsidRPr="00221EC6">
        <w:t xml:space="preserve"> </w:t>
      </w:r>
      <w:r>
        <w:t xml:space="preserve">Analysis of data completeness. The first column represents the number of sites with </w:t>
      </w:r>
      <w:r w:rsidRPr="00221EC6">
        <w:t xml:space="preserve">at least 75% of species in the dominant </w:t>
      </w:r>
      <w:r>
        <w:t>(D) or</w:t>
      </w:r>
      <w:r w:rsidRPr="00221EC6">
        <w:t xml:space="preserve"> non-dominant partitions (ND). The </w:t>
      </w:r>
      <w:r>
        <w:t xml:space="preserve">last three columns indicate the proportion of partitions that were estimated with a </w:t>
      </w:r>
      <w:r w:rsidRPr="00221EC6">
        <w:t xml:space="preserve">cut-off </w:t>
      </w:r>
      <w:r>
        <w:t xml:space="preserve">that was </w:t>
      </w:r>
      <w:r w:rsidRPr="00221EC6">
        <w:t>less than 0.15 units apart from the targeted cut-off (1/3, 1/2, or 2/3)</w:t>
      </w:r>
      <w:r>
        <w:t xml:space="preserve"> for either both partitions (Valid D &amp; ND), or only one of them (D or ND)</w:t>
      </w:r>
      <w:r w:rsidRPr="00221EC6">
        <w:t>.</w:t>
      </w:r>
    </w:p>
    <w:tbl>
      <w:tblPr>
        <w:tblW w:w="0" w:type="auto"/>
        <w:tblLook w:val="04A0" w:firstRow="1" w:lastRow="0" w:firstColumn="1" w:lastColumn="0" w:noHBand="0" w:noVBand="1"/>
      </w:tblPr>
      <w:tblGrid>
        <w:gridCol w:w="1843"/>
        <w:gridCol w:w="1877"/>
        <w:gridCol w:w="616"/>
        <w:gridCol w:w="1433"/>
        <w:gridCol w:w="878"/>
        <w:gridCol w:w="1022"/>
      </w:tblGrid>
      <w:tr w:rsidR="00C9256D" w:rsidRPr="00221EC6" w14:paraId="3AF32A8D" w14:textId="77777777" w:rsidTr="00F27C7C">
        <w:tc>
          <w:tcPr>
            <w:tcW w:w="1843" w:type="dxa"/>
            <w:tcBorders>
              <w:top w:val="single" w:sz="4" w:space="0" w:color="auto"/>
              <w:left w:val="nil"/>
              <w:bottom w:val="single" w:sz="4" w:space="0" w:color="auto"/>
              <w:right w:val="nil"/>
            </w:tcBorders>
            <w:shd w:val="clear" w:color="auto" w:fill="auto"/>
            <w:noWrap/>
            <w:hideMark/>
          </w:tcPr>
          <w:p w14:paraId="2CFB3362" w14:textId="77777777" w:rsidR="00C9256D" w:rsidRPr="00221EC6" w:rsidRDefault="00C9256D" w:rsidP="00C9256D">
            <w:pPr>
              <w:pStyle w:val="tabletext"/>
              <w:rPr>
                <w:b/>
                <w:bCs/>
              </w:rPr>
            </w:pPr>
            <w:r w:rsidRPr="00221EC6">
              <w:rPr>
                <w:b/>
                <w:bCs/>
              </w:rPr>
              <w:t>Trait</w:t>
            </w:r>
          </w:p>
        </w:tc>
        <w:tc>
          <w:tcPr>
            <w:tcW w:w="0" w:type="auto"/>
            <w:tcBorders>
              <w:top w:val="single" w:sz="4" w:space="0" w:color="auto"/>
              <w:left w:val="nil"/>
              <w:bottom w:val="single" w:sz="4" w:space="0" w:color="auto"/>
              <w:right w:val="nil"/>
            </w:tcBorders>
            <w:shd w:val="clear" w:color="auto" w:fill="auto"/>
            <w:noWrap/>
            <w:hideMark/>
          </w:tcPr>
          <w:p w14:paraId="3BEEF611" w14:textId="77777777" w:rsidR="00C9256D" w:rsidRPr="00221EC6" w:rsidRDefault="00C9256D" w:rsidP="00C9256D">
            <w:pPr>
              <w:pStyle w:val="tabletext"/>
              <w:rPr>
                <w:b/>
                <w:bCs/>
              </w:rPr>
            </w:pPr>
            <w:r w:rsidRPr="00221EC6">
              <w:rPr>
                <w:b/>
                <w:bCs/>
              </w:rPr>
              <w:t>variable</w:t>
            </w:r>
          </w:p>
        </w:tc>
        <w:tc>
          <w:tcPr>
            <w:tcW w:w="0" w:type="auto"/>
            <w:tcBorders>
              <w:top w:val="single" w:sz="4" w:space="0" w:color="auto"/>
              <w:left w:val="nil"/>
              <w:bottom w:val="single" w:sz="4" w:space="0" w:color="auto"/>
              <w:right w:val="nil"/>
            </w:tcBorders>
            <w:shd w:val="clear" w:color="auto" w:fill="auto"/>
            <w:noWrap/>
            <w:hideMark/>
          </w:tcPr>
          <w:p w14:paraId="5962BE3E" w14:textId="77777777" w:rsidR="00C9256D" w:rsidRPr="00221EC6" w:rsidRDefault="00C9256D" w:rsidP="00C9256D">
            <w:pPr>
              <w:pStyle w:val="tabletext"/>
              <w:rPr>
                <w:b/>
                <w:bCs/>
              </w:rPr>
            </w:pPr>
            <w:r w:rsidRPr="00221EC6">
              <w:rPr>
                <w:b/>
                <w:bCs/>
              </w:rPr>
              <w:t>Sites</w:t>
            </w:r>
          </w:p>
        </w:tc>
        <w:tc>
          <w:tcPr>
            <w:tcW w:w="0" w:type="auto"/>
            <w:tcBorders>
              <w:top w:val="single" w:sz="4" w:space="0" w:color="auto"/>
              <w:left w:val="nil"/>
              <w:bottom w:val="single" w:sz="4" w:space="0" w:color="auto"/>
              <w:right w:val="nil"/>
            </w:tcBorders>
            <w:shd w:val="clear" w:color="auto" w:fill="auto"/>
            <w:noWrap/>
            <w:hideMark/>
          </w:tcPr>
          <w:p w14:paraId="3C294915" w14:textId="77777777" w:rsidR="00C9256D" w:rsidRPr="00221EC6" w:rsidRDefault="00C9256D" w:rsidP="00C9256D">
            <w:pPr>
              <w:pStyle w:val="tabletext"/>
              <w:rPr>
                <w:b/>
                <w:bCs/>
              </w:rPr>
            </w:pPr>
            <w:r w:rsidRPr="00221EC6">
              <w:rPr>
                <w:b/>
                <w:bCs/>
              </w:rPr>
              <w:t>Valid D &amp; ND</w:t>
            </w:r>
          </w:p>
        </w:tc>
        <w:tc>
          <w:tcPr>
            <w:tcW w:w="0" w:type="auto"/>
            <w:tcBorders>
              <w:top w:val="single" w:sz="4" w:space="0" w:color="auto"/>
              <w:left w:val="nil"/>
              <w:bottom w:val="single" w:sz="4" w:space="0" w:color="auto"/>
              <w:right w:val="nil"/>
            </w:tcBorders>
            <w:shd w:val="clear" w:color="auto" w:fill="auto"/>
            <w:noWrap/>
            <w:hideMark/>
          </w:tcPr>
          <w:p w14:paraId="16E58E70" w14:textId="77777777" w:rsidR="00C9256D" w:rsidRPr="00221EC6" w:rsidRDefault="00C9256D" w:rsidP="00C9256D">
            <w:pPr>
              <w:pStyle w:val="tabletext"/>
              <w:rPr>
                <w:b/>
                <w:bCs/>
              </w:rPr>
            </w:pPr>
            <w:r w:rsidRPr="00221EC6">
              <w:rPr>
                <w:b/>
                <w:bCs/>
              </w:rPr>
              <w:t>Valid D</w:t>
            </w:r>
          </w:p>
        </w:tc>
        <w:tc>
          <w:tcPr>
            <w:tcW w:w="0" w:type="auto"/>
            <w:tcBorders>
              <w:top w:val="single" w:sz="4" w:space="0" w:color="auto"/>
              <w:left w:val="nil"/>
              <w:bottom w:val="single" w:sz="4" w:space="0" w:color="auto"/>
              <w:right w:val="nil"/>
            </w:tcBorders>
            <w:shd w:val="clear" w:color="auto" w:fill="auto"/>
            <w:noWrap/>
            <w:hideMark/>
          </w:tcPr>
          <w:p w14:paraId="7F961010" w14:textId="77777777" w:rsidR="00C9256D" w:rsidRPr="00221EC6" w:rsidRDefault="00C9256D" w:rsidP="00C9256D">
            <w:pPr>
              <w:pStyle w:val="tabletext"/>
              <w:rPr>
                <w:b/>
                <w:bCs/>
              </w:rPr>
            </w:pPr>
            <w:r w:rsidRPr="00221EC6">
              <w:rPr>
                <w:b/>
                <w:bCs/>
              </w:rPr>
              <w:t>Valid ND</w:t>
            </w:r>
          </w:p>
        </w:tc>
      </w:tr>
      <w:tr w:rsidR="00C9256D" w:rsidRPr="009F4711" w14:paraId="7D59FECE" w14:textId="77777777" w:rsidTr="00C9256D">
        <w:tc>
          <w:tcPr>
            <w:tcW w:w="1843" w:type="dxa"/>
            <w:vMerge w:val="restart"/>
            <w:tcBorders>
              <w:top w:val="single" w:sz="4" w:space="0" w:color="auto"/>
              <w:left w:val="nil"/>
              <w:right w:val="nil"/>
            </w:tcBorders>
            <w:shd w:val="clear" w:color="auto" w:fill="auto"/>
            <w:noWrap/>
            <w:vAlign w:val="center"/>
            <w:hideMark/>
          </w:tcPr>
          <w:p w14:paraId="1DB43D10" w14:textId="77777777" w:rsidR="00C9256D" w:rsidRPr="00C844B0" w:rsidRDefault="00C9256D" w:rsidP="00C9256D">
            <w:pPr>
              <w:pStyle w:val="tabletext"/>
            </w:pPr>
            <w:r w:rsidRPr="009F4711">
              <w:t>L</w:t>
            </w:r>
            <w:r w:rsidRPr="00C844B0">
              <w:t>eaf dry mass per leaf fresh mass</w:t>
            </w:r>
          </w:p>
        </w:tc>
        <w:tc>
          <w:tcPr>
            <w:tcW w:w="0" w:type="auto"/>
            <w:tcBorders>
              <w:top w:val="single" w:sz="4" w:space="0" w:color="auto"/>
              <w:left w:val="nil"/>
              <w:bottom w:val="nil"/>
              <w:right w:val="nil"/>
            </w:tcBorders>
            <w:shd w:val="clear" w:color="auto" w:fill="auto"/>
            <w:noWrap/>
            <w:hideMark/>
          </w:tcPr>
          <w:p w14:paraId="2697607C" w14:textId="77777777" w:rsidR="00C9256D" w:rsidRPr="00C844B0" w:rsidRDefault="00C9256D" w:rsidP="00C9256D">
            <w:pPr>
              <w:pStyle w:val="tabletext"/>
            </w:pPr>
            <w:r>
              <w:t>C</w:t>
            </w:r>
            <w:r w:rsidRPr="00C844B0">
              <w:t>over</w:t>
            </w:r>
          </w:p>
        </w:tc>
        <w:tc>
          <w:tcPr>
            <w:tcW w:w="0" w:type="auto"/>
            <w:tcBorders>
              <w:top w:val="single" w:sz="4" w:space="0" w:color="auto"/>
              <w:left w:val="nil"/>
              <w:bottom w:val="nil"/>
              <w:right w:val="nil"/>
            </w:tcBorders>
            <w:shd w:val="clear" w:color="auto" w:fill="auto"/>
            <w:noWrap/>
            <w:hideMark/>
          </w:tcPr>
          <w:p w14:paraId="185D4E70" w14:textId="77777777" w:rsidR="00C9256D" w:rsidRPr="00C844B0" w:rsidRDefault="00C9256D" w:rsidP="00C9256D">
            <w:pPr>
              <w:pStyle w:val="tabletext"/>
            </w:pPr>
            <w:r w:rsidRPr="009F4711">
              <w:t>40</w:t>
            </w:r>
          </w:p>
        </w:tc>
        <w:tc>
          <w:tcPr>
            <w:tcW w:w="0" w:type="auto"/>
            <w:tcBorders>
              <w:top w:val="single" w:sz="4" w:space="0" w:color="auto"/>
              <w:left w:val="nil"/>
              <w:bottom w:val="nil"/>
              <w:right w:val="nil"/>
            </w:tcBorders>
            <w:shd w:val="clear" w:color="auto" w:fill="auto"/>
            <w:noWrap/>
            <w:hideMark/>
          </w:tcPr>
          <w:p w14:paraId="4E96ECE9" w14:textId="77777777" w:rsidR="00C9256D" w:rsidRPr="00C844B0" w:rsidRDefault="00C9256D" w:rsidP="00C9256D">
            <w:pPr>
              <w:pStyle w:val="tabletext"/>
            </w:pPr>
            <w:r w:rsidRPr="00C844B0">
              <w:t>0.54</w:t>
            </w:r>
          </w:p>
        </w:tc>
        <w:tc>
          <w:tcPr>
            <w:tcW w:w="0" w:type="auto"/>
            <w:tcBorders>
              <w:top w:val="single" w:sz="4" w:space="0" w:color="auto"/>
              <w:left w:val="nil"/>
              <w:bottom w:val="nil"/>
              <w:right w:val="nil"/>
            </w:tcBorders>
            <w:shd w:val="clear" w:color="auto" w:fill="auto"/>
            <w:noWrap/>
            <w:hideMark/>
          </w:tcPr>
          <w:p w14:paraId="0F0B98C3" w14:textId="77777777" w:rsidR="00C9256D" w:rsidRPr="00C844B0" w:rsidRDefault="00C9256D" w:rsidP="00C9256D">
            <w:pPr>
              <w:pStyle w:val="tabletext"/>
            </w:pPr>
            <w:r w:rsidRPr="00C844B0">
              <w:t>0.74</w:t>
            </w:r>
          </w:p>
        </w:tc>
        <w:tc>
          <w:tcPr>
            <w:tcW w:w="0" w:type="auto"/>
            <w:tcBorders>
              <w:top w:val="single" w:sz="4" w:space="0" w:color="auto"/>
              <w:left w:val="nil"/>
              <w:bottom w:val="nil"/>
              <w:right w:val="nil"/>
            </w:tcBorders>
            <w:shd w:val="clear" w:color="auto" w:fill="auto"/>
            <w:noWrap/>
            <w:hideMark/>
          </w:tcPr>
          <w:p w14:paraId="4AF03CD1" w14:textId="77777777" w:rsidR="00C9256D" w:rsidRPr="00C844B0" w:rsidRDefault="00C9256D" w:rsidP="00C9256D">
            <w:pPr>
              <w:pStyle w:val="tabletext"/>
            </w:pPr>
            <w:r w:rsidRPr="00C844B0">
              <w:t>0.66</w:t>
            </w:r>
          </w:p>
        </w:tc>
      </w:tr>
      <w:tr w:rsidR="00C9256D" w:rsidRPr="009F4711" w14:paraId="34246A48" w14:textId="77777777" w:rsidTr="00C9256D">
        <w:tc>
          <w:tcPr>
            <w:tcW w:w="1843" w:type="dxa"/>
            <w:vMerge/>
            <w:tcBorders>
              <w:left w:val="nil"/>
              <w:right w:val="nil"/>
            </w:tcBorders>
            <w:shd w:val="clear" w:color="auto" w:fill="auto"/>
            <w:noWrap/>
            <w:vAlign w:val="center"/>
            <w:hideMark/>
          </w:tcPr>
          <w:p w14:paraId="00911FB9" w14:textId="77777777" w:rsidR="00C9256D" w:rsidRPr="00C844B0" w:rsidRDefault="00C9256D" w:rsidP="00C9256D">
            <w:pPr>
              <w:pStyle w:val="tabletext"/>
            </w:pPr>
          </w:p>
        </w:tc>
        <w:tc>
          <w:tcPr>
            <w:tcW w:w="0" w:type="auto"/>
            <w:tcBorders>
              <w:top w:val="nil"/>
              <w:left w:val="nil"/>
              <w:bottom w:val="nil"/>
              <w:right w:val="nil"/>
            </w:tcBorders>
            <w:shd w:val="clear" w:color="auto" w:fill="auto"/>
            <w:noWrap/>
            <w:hideMark/>
          </w:tcPr>
          <w:p w14:paraId="5A7AAB7C" w14:textId="77777777" w:rsidR="00C9256D" w:rsidRPr="00C844B0" w:rsidRDefault="00C9256D" w:rsidP="00C9256D">
            <w:pPr>
              <w:pStyle w:val="tabletext"/>
            </w:pPr>
            <w:r>
              <w:t>C</w:t>
            </w:r>
            <w:r w:rsidRPr="00C844B0">
              <w:t>over</w:t>
            </w:r>
            <w:r>
              <w:t xml:space="preserve"> presence-only</w:t>
            </w:r>
          </w:p>
        </w:tc>
        <w:tc>
          <w:tcPr>
            <w:tcW w:w="0" w:type="auto"/>
            <w:tcBorders>
              <w:top w:val="nil"/>
              <w:left w:val="nil"/>
              <w:bottom w:val="nil"/>
              <w:right w:val="nil"/>
            </w:tcBorders>
            <w:shd w:val="clear" w:color="auto" w:fill="auto"/>
            <w:noWrap/>
            <w:hideMark/>
          </w:tcPr>
          <w:p w14:paraId="2F11A57E" w14:textId="77777777" w:rsidR="00C9256D" w:rsidRPr="00C844B0" w:rsidRDefault="00C9256D" w:rsidP="00C9256D">
            <w:pPr>
              <w:pStyle w:val="tabletext"/>
            </w:pPr>
            <w:r w:rsidRPr="009F4711">
              <w:t>41</w:t>
            </w:r>
          </w:p>
        </w:tc>
        <w:tc>
          <w:tcPr>
            <w:tcW w:w="0" w:type="auto"/>
            <w:tcBorders>
              <w:top w:val="nil"/>
              <w:left w:val="nil"/>
              <w:bottom w:val="nil"/>
              <w:right w:val="nil"/>
            </w:tcBorders>
            <w:shd w:val="clear" w:color="auto" w:fill="auto"/>
            <w:noWrap/>
            <w:hideMark/>
          </w:tcPr>
          <w:p w14:paraId="530691DD" w14:textId="77777777" w:rsidR="00C9256D" w:rsidRPr="00C844B0" w:rsidRDefault="00C9256D" w:rsidP="00C9256D">
            <w:pPr>
              <w:pStyle w:val="tabletext"/>
            </w:pPr>
            <w:r w:rsidRPr="00C844B0">
              <w:t>0.48</w:t>
            </w:r>
          </w:p>
        </w:tc>
        <w:tc>
          <w:tcPr>
            <w:tcW w:w="0" w:type="auto"/>
            <w:tcBorders>
              <w:top w:val="nil"/>
              <w:left w:val="nil"/>
              <w:bottom w:val="nil"/>
              <w:right w:val="nil"/>
            </w:tcBorders>
            <w:shd w:val="clear" w:color="auto" w:fill="auto"/>
            <w:noWrap/>
            <w:hideMark/>
          </w:tcPr>
          <w:p w14:paraId="3E16A2E0" w14:textId="77777777" w:rsidR="00C9256D" w:rsidRPr="00C844B0" w:rsidRDefault="00C9256D" w:rsidP="00C9256D">
            <w:pPr>
              <w:pStyle w:val="tabletext"/>
            </w:pPr>
            <w:r w:rsidRPr="00C844B0">
              <w:t>0.79</w:t>
            </w:r>
          </w:p>
        </w:tc>
        <w:tc>
          <w:tcPr>
            <w:tcW w:w="0" w:type="auto"/>
            <w:tcBorders>
              <w:top w:val="nil"/>
              <w:left w:val="nil"/>
              <w:bottom w:val="nil"/>
              <w:right w:val="nil"/>
            </w:tcBorders>
            <w:shd w:val="clear" w:color="auto" w:fill="auto"/>
            <w:noWrap/>
            <w:hideMark/>
          </w:tcPr>
          <w:p w14:paraId="0573522E" w14:textId="77777777" w:rsidR="00C9256D" w:rsidRPr="00C844B0" w:rsidRDefault="00C9256D" w:rsidP="00C9256D">
            <w:pPr>
              <w:pStyle w:val="tabletext"/>
            </w:pPr>
            <w:r w:rsidRPr="00C844B0">
              <w:t>0.52</w:t>
            </w:r>
          </w:p>
        </w:tc>
      </w:tr>
      <w:tr w:rsidR="00C9256D" w:rsidRPr="009F4711" w14:paraId="5479B647" w14:textId="77777777" w:rsidTr="00C9256D">
        <w:tc>
          <w:tcPr>
            <w:tcW w:w="1843" w:type="dxa"/>
            <w:vMerge/>
            <w:tcBorders>
              <w:left w:val="nil"/>
              <w:bottom w:val="single" w:sz="4" w:space="0" w:color="auto"/>
              <w:right w:val="nil"/>
            </w:tcBorders>
            <w:shd w:val="clear" w:color="auto" w:fill="auto"/>
            <w:noWrap/>
            <w:vAlign w:val="center"/>
            <w:hideMark/>
          </w:tcPr>
          <w:p w14:paraId="740E0F24" w14:textId="77777777" w:rsidR="00C9256D" w:rsidRPr="00C844B0" w:rsidRDefault="00C9256D" w:rsidP="00C9256D">
            <w:pPr>
              <w:pStyle w:val="tabletext"/>
            </w:pPr>
          </w:p>
        </w:tc>
        <w:tc>
          <w:tcPr>
            <w:tcW w:w="0" w:type="auto"/>
            <w:tcBorders>
              <w:top w:val="nil"/>
              <w:left w:val="nil"/>
              <w:bottom w:val="single" w:sz="4" w:space="0" w:color="auto"/>
              <w:right w:val="nil"/>
            </w:tcBorders>
            <w:shd w:val="clear" w:color="auto" w:fill="auto"/>
            <w:noWrap/>
            <w:hideMark/>
          </w:tcPr>
          <w:p w14:paraId="5A67C0C0" w14:textId="77777777" w:rsidR="00C9256D" w:rsidRPr="00C844B0" w:rsidRDefault="00C9256D" w:rsidP="00C9256D">
            <w:pPr>
              <w:pStyle w:val="tabletext"/>
            </w:pPr>
            <w:r>
              <w:t>Frequency</w:t>
            </w:r>
          </w:p>
        </w:tc>
        <w:tc>
          <w:tcPr>
            <w:tcW w:w="0" w:type="auto"/>
            <w:tcBorders>
              <w:top w:val="nil"/>
              <w:left w:val="nil"/>
              <w:bottom w:val="single" w:sz="4" w:space="0" w:color="auto"/>
              <w:right w:val="nil"/>
            </w:tcBorders>
            <w:shd w:val="clear" w:color="auto" w:fill="auto"/>
            <w:noWrap/>
            <w:hideMark/>
          </w:tcPr>
          <w:p w14:paraId="595A7C83" w14:textId="77777777" w:rsidR="00C9256D" w:rsidRPr="00C844B0" w:rsidRDefault="00C9256D" w:rsidP="00C9256D">
            <w:pPr>
              <w:pStyle w:val="tabletext"/>
            </w:pPr>
            <w:r w:rsidRPr="009F4711">
              <w:t>42</w:t>
            </w:r>
          </w:p>
        </w:tc>
        <w:tc>
          <w:tcPr>
            <w:tcW w:w="0" w:type="auto"/>
            <w:tcBorders>
              <w:top w:val="nil"/>
              <w:left w:val="nil"/>
              <w:bottom w:val="single" w:sz="4" w:space="0" w:color="auto"/>
              <w:right w:val="nil"/>
            </w:tcBorders>
            <w:shd w:val="clear" w:color="auto" w:fill="auto"/>
            <w:noWrap/>
            <w:hideMark/>
          </w:tcPr>
          <w:p w14:paraId="7F67839B" w14:textId="77777777" w:rsidR="00C9256D" w:rsidRPr="00C844B0" w:rsidRDefault="00C9256D" w:rsidP="00C9256D">
            <w:pPr>
              <w:pStyle w:val="tabletext"/>
            </w:pPr>
            <w:r w:rsidRPr="00C844B0">
              <w:t>0.45</w:t>
            </w:r>
          </w:p>
        </w:tc>
        <w:tc>
          <w:tcPr>
            <w:tcW w:w="0" w:type="auto"/>
            <w:tcBorders>
              <w:top w:val="nil"/>
              <w:left w:val="nil"/>
              <w:bottom w:val="single" w:sz="4" w:space="0" w:color="auto"/>
              <w:right w:val="nil"/>
            </w:tcBorders>
            <w:shd w:val="clear" w:color="auto" w:fill="auto"/>
            <w:noWrap/>
            <w:hideMark/>
          </w:tcPr>
          <w:p w14:paraId="4130BF3B" w14:textId="77777777" w:rsidR="00C9256D" w:rsidRPr="00C844B0" w:rsidRDefault="00C9256D" w:rsidP="00C9256D">
            <w:pPr>
              <w:pStyle w:val="tabletext"/>
            </w:pPr>
            <w:r w:rsidRPr="00C844B0">
              <w:t>0.73</w:t>
            </w:r>
          </w:p>
        </w:tc>
        <w:tc>
          <w:tcPr>
            <w:tcW w:w="0" w:type="auto"/>
            <w:tcBorders>
              <w:top w:val="nil"/>
              <w:left w:val="nil"/>
              <w:bottom w:val="single" w:sz="4" w:space="0" w:color="auto"/>
              <w:right w:val="nil"/>
            </w:tcBorders>
            <w:shd w:val="clear" w:color="auto" w:fill="auto"/>
            <w:noWrap/>
            <w:hideMark/>
          </w:tcPr>
          <w:p w14:paraId="0624FFE5" w14:textId="77777777" w:rsidR="00C9256D" w:rsidRPr="00C844B0" w:rsidRDefault="00C9256D" w:rsidP="00C9256D">
            <w:pPr>
              <w:pStyle w:val="tabletext"/>
            </w:pPr>
            <w:r w:rsidRPr="00C844B0">
              <w:t>0.52</w:t>
            </w:r>
          </w:p>
        </w:tc>
      </w:tr>
      <w:tr w:rsidR="00C9256D" w:rsidRPr="009F4711" w14:paraId="38196B70" w14:textId="77777777" w:rsidTr="00C9256D">
        <w:tc>
          <w:tcPr>
            <w:tcW w:w="1843" w:type="dxa"/>
            <w:vMerge w:val="restart"/>
            <w:tcBorders>
              <w:top w:val="single" w:sz="4" w:space="0" w:color="auto"/>
              <w:left w:val="nil"/>
              <w:right w:val="nil"/>
            </w:tcBorders>
            <w:shd w:val="clear" w:color="auto" w:fill="auto"/>
            <w:noWrap/>
            <w:vAlign w:val="center"/>
            <w:hideMark/>
          </w:tcPr>
          <w:p w14:paraId="5C52A393" w14:textId="77777777" w:rsidR="00C9256D" w:rsidRPr="00C844B0" w:rsidRDefault="00C9256D" w:rsidP="00C9256D">
            <w:pPr>
              <w:pStyle w:val="tabletext"/>
            </w:pPr>
            <w:r w:rsidRPr="009F4711">
              <w:t>L</w:t>
            </w:r>
            <w:r w:rsidRPr="00C844B0">
              <w:t>eaf nitrogen content per leaf dry mass</w:t>
            </w:r>
          </w:p>
        </w:tc>
        <w:tc>
          <w:tcPr>
            <w:tcW w:w="0" w:type="auto"/>
            <w:tcBorders>
              <w:top w:val="single" w:sz="4" w:space="0" w:color="auto"/>
              <w:left w:val="nil"/>
              <w:bottom w:val="nil"/>
              <w:right w:val="nil"/>
            </w:tcBorders>
            <w:shd w:val="clear" w:color="auto" w:fill="auto"/>
            <w:noWrap/>
            <w:hideMark/>
          </w:tcPr>
          <w:p w14:paraId="695A19D0" w14:textId="77777777" w:rsidR="00C9256D" w:rsidRPr="00C844B0" w:rsidRDefault="00C9256D" w:rsidP="00C9256D">
            <w:pPr>
              <w:pStyle w:val="tabletext"/>
            </w:pPr>
            <w:r>
              <w:t>C</w:t>
            </w:r>
            <w:r w:rsidRPr="00C844B0">
              <w:t>over</w:t>
            </w:r>
          </w:p>
        </w:tc>
        <w:tc>
          <w:tcPr>
            <w:tcW w:w="0" w:type="auto"/>
            <w:tcBorders>
              <w:top w:val="single" w:sz="4" w:space="0" w:color="auto"/>
              <w:left w:val="nil"/>
              <w:bottom w:val="nil"/>
              <w:right w:val="nil"/>
            </w:tcBorders>
            <w:shd w:val="clear" w:color="auto" w:fill="auto"/>
            <w:noWrap/>
            <w:hideMark/>
          </w:tcPr>
          <w:p w14:paraId="409D317B" w14:textId="77777777" w:rsidR="00C9256D" w:rsidRPr="00C844B0" w:rsidRDefault="00C9256D" w:rsidP="00C9256D">
            <w:pPr>
              <w:pStyle w:val="tabletext"/>
            </w:pPr>
            <w:r w:rsidRPr="009F4711">
              <w:t>49</w:t>
            </w:r>
          </w:p>
        </w:tc>
        <w:tc>
          <w:tcPr>
            <w:tcW w:w="0" w:type="auto"/>
            <w:tcBorders>
              <w:top w:val="single" w:sz="4" w:space="0" w:color="auto"/>
              <w:left w:val="nil"/>
              <w:bottom w:val="nil"/>
              <w:right w:val="nil"/>
            </w:tcBorders>
            <w:shd w:val="clear" w:color="auto" w:fill="auto"/>
            <w:noWrap/>
            <w:hideMark/>
          </w:tcPr>
          <w:p w14:paraId="69800B41" w14:textId="77777777" w:rsidR="00C9256D" w:rsidRPr="00C844B0" w:rsidRDefault="00C9256D" w:rsidP="00C9256D">
            <w:pPr>
              <w:pStyle w:val="tabletext"/>
            </w:pPr>
            <w:r w:rsidRPr="00C844B0">
              <w:t>0.37</w:t>
            </w:r>
          </w:p>
        </w:tc>
        <w:tc>
          <w:tcPr>
            <w:tcW w:w="0" w:type="auto"/>
            <w:tcBorders>
              <w:top w:val="single" w:sz="4" w:space="0" w:color="auto"/>
              <w:left w:val="nil"/>
              <w:bottom w:val="nil"/>
              <w:right w:val="nil"/>
            </w:tcBorders>
            <w:shd w:val="clear" w:color="auto" w:fill="auto"/>
            <w:noWrap/>
            <w:hideMark/>
          </w:tcPr>
          <w:p w14:paraId="703CB911" w14:textId="77777777" w:rsidR="00C9256D" w:rsidRPr="00C844B0" w:rsidRDefault="00C9256D" w:rsidP="00C9256D">
            <w:pPr>
              <w:pStyle w:val="tabletext"/>
            </w:pPr>
            <w:r w:rsidRPr="00C844B0">
              <w:t>0.77</w:t>
            </w:r>
          </w:p>
        </w:tc>
        <w:tc>
          <w:tcPr>
            <w:tcW w:w="0" w:type="auto"/>
            <w:tcBorders>
              <w:top w:val="single" w:sz="4" w:space="0" w:color="auto"/>
              <w:left w:val="nil"/>
              <w:bottom w:val="nil"/>
              <w:right w:val="nil"/>
            </w:tcBorders>
            <w:shd w:val="clear" w:color="auto" w:fill="auto"/>
            <w:noWrap/>
            <w:hideMark/>
          </w:tcPr>
          <w:p w14:paraId="6494B610" w14:textId="77777777" w:rsidR="00C9256D" w:rsidRPr="00C844B0" w:rsidRDefault="00C9256D" w:rsidP="00C9256D">
            <w:pPr>
              <w:pStyle w:val="tabletext"/>
            </w:pPr>
            <w:r w:rsidRPr="00C844B0">
              <w:t>0.38</w:t>
            </w:r>
          </w:p>
        </w:tc>
      </w:tr>
      <w:tr w:rsidR="00C9256D" w:rsidRPr="009F4711" w14:paraId="6CE82D2C" w14:textId="77777777" w:rsidTr="00C9256D">
        <w:tc>
          <w:tcPr>
            <w:tcW w:w="1843" w:type="dxa"/>
            <w:vMerge/>
            <w:tcBorders>
              <w:left w:val="nil"/>
              <w:right w:val="nil"/>
            </w:tcBorders>
            <w:shd w:val="clear" w:color="auto" w:fill="auto"/>
            <w:noWrap/>
            <w:vAlign w:val="center"/>
            <w:hideMark/>
          </w:tcPr>
          <w:p w14:paraId="423B898B" w14:textId="77777777" w:rsidR="00C9256D" w:rsidRPr="00C844B0" w:rsidRDefault="00C9256D" w:rsidP="00C9256D">
            <w:pPr>
              <w:pStyle w:val="tabletext"/>
            </w:pPr>
          </w:p>
        </w:tc>
        <w:tc>
          <w:tcPr>
            <w:tcW w:w="0" w:type="auto"/>
            <w:tcBorders>
              <w:top w:val="nil"/>
              <w:left w:val="nil"/>
              <w:bottom w:val="nil"/>
              <w:right w:val="nil"/>
            </w:tcBorders>
            <w:shd w:val="clear" w:color="auto" w:fill="auto"/>
            <w:noWrap/>
            <w:hideMark/>
          </w:tcPr>
          <w:p w14:paraId="01187BE2" w14:textId="77777777" w:rsidR="00C9256D" w:rsidRPr="00C844B0" w:rsidRDefault="00C9256D" w:rsidP="00C9256D">
            <w:pPr>
              <w:pStyle w:val="tabletext"/>
            </w:pPr>
            <w:r>
              <w:t>C</w:t>
            </w:r>
            <w:r w:rsidRPr="00C844B0">
              <w:t>over</w:t>
            </w:r>
            <w:r>
              <w:t xml:space="preserve"> presence-only</w:t>
            </w:r>
          </w:p>
        </w:tc>
        <w:tc>
          <w:tcPr>
            <w:tcW w:w="0" w:type="auto"/>
            <w:tcBorders>
              <w:top w:val="nil"/>
              <w:left w:val="nil"/>
              <w:bottom w:val="nil"/>
              <w:right w:val="nil"/>
            </w:tcBorders>
            <w:shd w:val="clear" w:color="auto" w:fill="auto"/>
            <w:noWrap/>
            <w:hideMark/>
          </w:tcPr>
          <w:p w14:paraId="23552D2C" w14:textId="77777777" w:rsidR="00C9256D" w:rsidRPr="00C844B0" w:rsidRDefault="00C9256D" w:rsidP="00C9256D">
            <w:pPr>
              <w:pStyle w:val="tabletext"/>
            </w:pPr>
            <w:r w:rsidRPr="009F4711">
              <w:t>50</w:t>
            </w:r>
          </w:p>
        </w:tc>
        <w:tc>
          <w:tcPr>
            <w:tcW w:w="0" w:type="auto"/>
            <w:tcBorders>
              <w:top w:val="nil"/>
              <w:left w:val="nil"/>
              <w:bottom w:val="nil"/>
              <w:right w:val="nil"/>
            </w:tcBorders>
            <w:shd w:val="clear" w:color="auto" w:fill="auto"/>
            <w:noWrap/>
            <w:hideMark/>
          </w:tcPr>
          <w:p w14:paraId="15B2C0F0" w14:textId="77777777" w:rsidR="00C9256D" w:rsidRPr="00C844B0" w:rsidRDefault="00C9256D" w:rsidP="00C9256D">
            <w:pPr>
              <w:pStyle w:val="tabletext"/>
            </w:pPr>
            <w:r w:rsidRPr="00C844B0">
              <w:t>0.28</w:t>
            </w:r>
          </w:p>
        </w:tc>
        <w:tc>
          <w:tcPr>
            <w:tcW w:w="0" w:type="auto"/>
            <w:tcBorders>
              <w:top w:val="nil"/>
              <w:left w:val="nil"/>
              <w:bottom w:val="nil"/>
              <w:right w:val="nil"/>
            </w:tcBorders>
            <w:shd w:val="clear" w:color="auto" w:fill="auto"/>
            <w:noWrap/>
            <w:hideMark/>
          </w:tcPr>
          <w:p w14:paraId="05A06EE7" w14:textId="77777777" w:rsidR="00C9256D" w:rsidRPr="00C844B0" w:rsidRDefault="00C9256D" w:rsidP="00C9256D">
            <w:pPr>
              <w:pStyle w:val="tabletext"/>
            </w:pPr>
            <w:r w:rsidRPr="00C844B0">
              <w:t>0.70</w:t>
            </w:r>
          </w:p>
        </w:tc>
        <w:tc>
          <w:tcPr>
            <w:tcW w:w="0" w:type="auto"/>
            <w:tcBorders>
              <w:top w:val="nil"/>
              <w:left w:val="nil"/>
              <w:bottom w:val="nil"/>
              <w:right w:val="nil"/>
            </w:tcBorders>
            <w:shd w:val="clear" w:color="auto" w:fill="auto"/>
            <w:noWrap/>
            <w:hideMark/>
          </w:tcPr>
          <w:p w14:paraId="76CB361F" w14:textId="77777777" w:rsidR="00C9256D" w:rsidRPr="00C844B0" w:rsidRDefault="00C9256D" w:rsidP="00C9256D">
            <w:pPr>
              <w:pStyle w:val="tabletext"/>
            </w:pPr>
            <w:r w:rsidRPr="00C844B0">
              <w:t>0.35</w:t>
            </w:r>
          </w:p>
        </w:tc>
      </w:tr>
      <w:tr w:rsidR="00C9256D" w:rsidRPr="009F4711" w14:paraId="4B889D87" w14:textId="77777777" w:rsidTr="00C9256D">
        <w:tc>
          <w:tcPr>
            <w:tcW w:w="1843" w:type="dxa"/>
            <w:vMerge/>
            <w:tcBorders>
              <w:left w:val="nil"/>
              <w:bottom w:val="single" w:sz="4" w:space="0" w:color="auto"/>
              <w:right w:val="nil"/>
            </w:tcBorders>
            <w:shd w:val="clear" w:color="auto" w:fill="auto"/>
            <w:noWrap/>
            <w:vAlign w:val="center"/>
            <w:hideMark/>
          </w:tcPr>
          <w:p w14:paraId="2219D46B" w14:textId="77777777" w:rsidR="00C9256D" w:rsidRPr="00C844B0" w:rsidRDefault="00C9256D" w:rsidP="00C9256D">
            <w:pPr>
              <w:pStyle w:val="tabletext"/>
            </w:pPr>
          </w:p>
        </w:tc>
        <w:tc>
          <w:tcPr>
            <w:tcW w:w="0" w:type="auto"/>
            <w:tcBorders>
              <w:top w:val="nil"/>
              <w:left w:val="nil"/>
              <w:bottom w:val="single" w:sz="4" w:space="0" w:color="auto"/>
              <w:right w:val="nil"/>
            </w:tcBorders>
            <w:shd w:val="clear" w:color="auto" w:fill="auto"/>
            <w:noWrap/>
            <w:hideMark/>
          </w:tcPr>
          <w:p w14:paraId="53F6C1D8" w14:textId="77777777" w:rsidR="00C9256D" w:rsidRPr="00C844B0" w:rsidRDefault="00C9256D" w:rsidP="00C9256D">
            <w:pPr>
              <w:pStyle w:val="tabletext"/>
            </w:pPr>
            <w:r>
              <w:t>Frequency</w:t>
            </w:r>
          </w:p>
        </w:tc>
        <w:tc>
          <w:tcPr>
            <w:tcW w:w="0" w:type="auto"/>
            <w:tcBorders>
              <w:top w:val="nil"/>
              <w:left w:val="nil"/>
              <w:bottom w:val="single" w:sz="4" w:space="0" w:color="auto"/>
              <w:right w:val="nil"/>
            </w:tcBorders>
            <w:shd w:val="clear" w:color="auto" w:fill="auto"/>
            <w:noWrap/>
            <w:hideMark/>
          </w:tcPr>
          <w:p w14:paraId="3C77656B" w14:textId="77777777" w:rsidR="00C9256D" w:rsidRPr="00C844B0" w:rsidRDefault="00C9256D" w:rsidP="00C9256D">
            <w:pPr>
              <w:pStyle w:val="tabletext"/>
            </w:pPr>
            <w:r w:rsidRPr="009F4711">
              <w:t>51</w:t>
            </w:r>
          </w:p>
        </w:tc>
        <w:tc>
          <w:tcPr>
            <w:tcW w:w="0" w:type="auto"/>
            <w:tcBorders>
              <w:top w:val="nil"/>
              <w:left w:val="nil"/>
              <w:bottom w:val="single" w:sz="4" w:space="0" w:color="auto"/>
              <w:right w:val="nil"/>
            </w:tcBorders>
            <w:shd w:val="clear" w:color="auto" w:fill="auto"/>
            <w:noWrap/>
            <w:hideMark/>
          </w:tcPr>
          <w:p w14:paraId="4B7A8D91" w14:textId="77777777" w:rsidR="00C9256D" w:rsidRPr="00C844B0" w:rsidRDefault="00C9256D" w:rsidP="00C9256D">
            <w:pPr>
              <w:pStyle w:val="tabletext"/>
            </w:pPr>
            <w:r w:rsidRPr="00C844B0">
              <w:t>0.32</w:t>
            </w:r>
          </w:p>
        </w:tc>
        <w:tc>
          <w:tcPr>
            <w:tcW w:w="0" w:type="auto"/>
            <w:tcBorders>
              <w:top w:val="nil"/>
              <w:left w:val="nil"/>
              <w:bottom w:val="single" w:sz="4" w:space="0" w:color="auto"/>
              <w:right w:val="nil"/>
            </w:tcBorders>
            <w:shd w:val="clear" w:color="auto" w:fill="auto"/>
            <w:noWrap/>
            <w:hideMark/>
          </w:tcPr>
          <w:p w14:paraId="3795C965" w14:textId="77777777" w:rsidR="00C9256D" w:rsidRPr="00C844B0" w:rsidRDefault="00C9256D" w:rsidP="00C9256D">
            <w:pPr>
              <w:pStyle w:val="tabletext"/>
            </w:pPr>
            <w:r w:rsidRPr="00C844B0">
              <w:t>0.71</w:t>
            </w:r>
          </w:p>
        </w:tc>
        <w:tc>
          <w:tcPr>
            <w:tcW w:w="0" w:type="auto"/>
            <w:tcBorders>
              <w:top w:val="nil"/>
              <w:left w:val="nil"/>
              <w:bottom w:val="single" w:sz="4" w:space="0" w:color="auto"/>
              <w:right w:val="nil"/>
            </w:tcBorders>
            <w:shd w:val="clear" w:color="auto" w:fill="auto"/>
            <w:noWrap/>
            <w:hideMark/>
          </w:tcPr>
          <w:p w14:paraId="085BF9BE" w14:textId="77777777" w:rsidR="00C9256D" w:rsidRPr="00C844B0" w:rsidRDefault="00C9256D" w:rsidP="00C9256D">
            <w:pPr>
              <w:pStyle w:val="tabletext"/>
            </w:pPr>
            <w:r w:rsidRPr="00C844B0">
              <w:t>0.35</w:t>
            </w:r>
          </w:p>
        </w:tc>
      </w:tr>
      <w:tr w:rsidR="00C9256D" w:rsidRPr="009F4711" w14:paraId="4849F3C3" w14:textId="77777777" w:rsidTr="00C9256D">
        <w:tc>
          <w:tcPr>
            <w:tcW w:w="1843" w:type="dxa"/>
            <w:vMerge w:val="restart"/>
            <w:tcBorders>
              <w:top w:val="single" w:sz="4" w:space="0" w:color="auto"/>
              <w:left w:val="nil"/>
              <w:right w:val="nil"/>
            </w:tcBorders>
            <w:shd w:val="clear" w:color="auto" w:fill="auto"/>
            <w:noWrap/>
            <w:vAlign w:val="center"/>
            <w:hideMark/>
          </w:tcPr>
          <w:p w14:paraId="53102406" w14:textId="77777777" w:rsidR="00C9256D" w:rsidRPr="00C844B0" w:rsidRDefault="00C9256D" w:rsidP="00C9256D">
            <w:pPr>
              <w:pStyle w:val="tabletext"/>
            </w:pPr>
            <w:r w:rsidRPr="009F4711">
              <w:t>S</w:t>
            </w:r>
            <w:r w:rsidRPr="00C844B0">
              <w:t>eed mass</w:t>
            </w:r>
          </w:p>
        </w:tc>
        <w:tc>
          <w:tcPr>
            <w:tcW w:w="0" w:type="auto"/>
            <w:tcBorders>
              <w:top w:val="single" w:sz="4" w:space="0" w:color="auto"/>
              <w:left w:val="nil"/>
              <w:bottom w:val="nil"/>
              <w:right w:val="nil"/>
            </w:tcBorders>
            <w:shd w:val="clear" w:color="auto" w:fill="auto"/>
            <w:noWrap/>
            <w:hideMark/>
          </w:tcPr>
          <w:p w14:paraId="2D42EE2C" w14:textId="77777777" w:rsidR="00C9256D" w:rsidRPr="00C844B0" w:rsidRDefault="00C9256D" w:rsidP="00C9256D">
            <w:pPr>
              <w:pStyle w:val="tabletext"/>
            </w:pPr>
            <w:r>
              <w:t>C</w:t>
            </w:r>
            <w:r w:rsidRPr="00C844B0">
              <w:t>over</w:t>
            </w:r>
          </w:p>
        </w:tc>
        <w:tc>
          <w:tcPr>
            <w:tcW w:w="0" w:type="auto"/>
            <w:tcBorders>
              <w:top w:val="single" w:sz="4" w:space="0" w:color="auto"/>
              <w:left w:val="nil"/>
              <w:bottom w:val="nil"/>
              <w:right w:val="nil"/>
            </w:tcBorders>
            <w:shd w:val="clear" w:color="auto" w:fill="auto"/>
            <w:noWrap/>
            <w:hideMark/>
          </w:tcPr>
          <w:p w14:paraId="7BB7C85A" w14:textId="77777777" w:rsidR="00C9256D" w:rsidRPr="00C844B0" w:rsidRDefault="00C9256D" w:rsidP="00C9256D">
            <w:pPr>
              <w:pStyle w:val="tabletext"/>
            </w:pPr>
            <w:r w:rsidRPr="009F4711">
              <w:t>65</w:t>
            </w:r>
          </w:p>
        </w:tc>
        <w:tc>
          <w:tcPr>
            <w:tcW w:w="0" w:type="auto"/>
            <w:tcBorders>
              <w:top w:val="single" w:sz="4" w:space="0" w:color="auto"/>
              <w:left w:val="nil"/>
              <w:bottom w:val="nil"/>
              <w:right w:val="nil"/>
            </w:tcBorders>
            <w:shd w:val="clear" w:color="auto" w:fill="auto"/>
            <w:noWrap/>
            <w:hideMark/>
          </w:tcPr>
          <w:p w14:paraId="548E11A4" w14:textId="77777777" w:rsidR="00C9256D" w:rsidRPr="00C844B0" w:rsidRDefault="00C9256D" w:rsidP="00C9256D">
            <w:pPr>
              <w:pStyle w:val="tabletext"/>
            </w:pPr>
            <w:r w:rsidRPr="00C844B0">
              <w:t>0.66</w:t>
            </w:r>
          </w:p>
        </w:tc>
        <w:tc>
          <w:tcPr>
            <w:tcW w:w="0" w:type="auto"/>
            <w:tcBorders>
              <w:top w:val="single" w:sz="4" w:space="0" w:color="auto"/>
              <w:left w:val="nil"/>
              <w:bottom w:val="nil"/>
              <w:right w:val="nil"/>
            </w:tcBorders>
            <w:shd w:val="clear" w:color="auto" w:fill="auto"/>
            <w:noWrap/>
            <w:hideMark/>
          </w:tcPr>
          <w:p w14:paraId="69479E9C" w14:textId="77777777" w:rsidR="00C9256D" w:rsidRPr="00C844B0" w:rsidRDefault="00C9256D" w:rsidP="00C9256D">
            <w:pPr>
              <w:pStyle w:val="tabletext"/>
            </w:pPr>
            <w:r w:rsidRPr="00C844B0">
              <w:t>0.82</w:t>
            </w:r>
          </w:p>
        </w:tc>
        <w:tc>
          <w:tcPr>
            <w:tcW w:w="0" w:type="auto"/>
            <w:tcBorders>
              <w:top w:val="single" w:sz="4" w:space="0" w:color="auto"/>
              <w:left w:val="nil"/>
              <w:bottom w:val="nil"/>
              <w:right w:val="nil"/>
            </w:tcBorders>
            <w:shd w:val="clear" w:color="auto" w:fill="auto"/>
            <w:noWrap/>
            <w:hideMark/>
          </w:tcPr>
          <w:p w14:paraId="7B9CC54C" w14:textId="77777777" w:rsidR="00C9256D" w:rsidRPr="00C844B0" w:rsidRDefault="00C9256D" w:rsidP="00C9256D">
            <w:pPr>
              <w:pStyle w:val="tabletext"/>
            </w:pPr>
            <w:r w:rsidRPr="00C844B0">
              <w:t>0.74</w:t>
            </w:r>
          </w:p>
        </w:tc>
      </w:tr>
      <w:tr w:rsidR="00C9256D" w:rsidRPr="009F4711" w14:paraId="32C6BDB3" w14:textId="77777777" w:rsidTr="00C9256D">
        <w:tc>
          <w:tcPr>
            <w:tcW w:w="1843" w:type="dxa"/>
            <w:vMerge/>
            <w:tcBorders>
              <w:left w:val="nil"/>
              <w:right w:val="nil"/>
            </w:tcBorders>
            <w:shd w:val="clear" w:color="auto" w:fill="auto"/>
            <w:noWrap/>
            <w:vAlign w:val="center"/>
            <w:hideMark/>
          </w:tcPr>
          <w:p w14:paraId="5819631E" w14:textId="77777777" w:rsidR="00C9256D" w:rsidRPr="00C844B0" w:rsidRDefault="00C9256D" w:rsidP="00C9256D">
            <w:pPr>
              <w:pStyle w:val="tabletext"/>
            </w:pPr>
          </w:p>
        </w:tc>
        <w:tc>
          <w:tcPr>
            <w:tcW w:w="0" w:type="auto"/>
            <w:tcBorders>
              <w:top w:val="nil"/>
              <w:left w:val="nil"/>
              <w:bottom w:val="nil"/>
              <w:right w:val="nil"/>
            </w:tcBorders>
            <w:shd w:val="clear" w:color="auto" w:fill="auto"/>
            <w:noWrap/>
            <w:hideMark/>
          </w:tcPr>
          <w:p w14:paraId="60FC6996" w14:textId="77777777" w:rsidR="00C9256D" w:rsidRPr="00C844B0" w:rsidRDefault="00C9256D" w:rsidP="00C9256D">
            <w:pPr>
              <w:pStyle w:val="tabletext"/>
            </w:pPr>
            <w:r>
              <w:t>C</w:t>
            </w:r>
            <w:r w:rsidRPr="00C844B0">
              <w:t>over</w:t>
            </w:r>
            <w:r>
              <w:t xml:space="preserve"> presence-only</w:t>
            </w:r>
          </w:p>
        </w:tc>
        <w:tc>
          <w:tcPr>
            <w:tcW w:w="0" w:type="auto"/>
            <w:tcBorders>
              <w:top w:val="nil"/>
              <w:left w:val="nil"/>
              <w:bottom w:val="nil"/>
              <w:right w:val="nil"/>
            </w:tcBorders>
            <w:shd w:val="clear" w:color="auto" w:fill="auto"/>
            <w:noWrap/>
            <w:hideMark/>
          </w:tcPr>
          <w:p w14:paraId="4E6B8AB7" w14:textId="77777777" w:rsidR="00C9256D" w:rsidRPr="00C844B0" w:rsidRDefault="00C9256D" w:rsidP="00C9256D">
            <w:pPr>
              <w:pStyle w:val="tabletext"/>
            </w:pPr>
            <w:r w:rsidRPr="009F4711">
              <w:t>63</w:t>
            </w:r>
          </w:p>
        </w:tc>
        <w:tc>
          <w:tcPr>
            <w:tcW w:w="0" w:type="auto"/>
            <w:tcBorders>
              <w:top w:val="nil"/>
              <w:left w:val="nil"/>
              <w:bottom w:val="nil"/>
              <w:right w:val="nil"/>
            </w:tcBorders>
            <w:shd w:val="clear" w:color="auto" w:fill="auto"/>
            <w:noWrap/>
            <w:hideMark/>
          </w:tcPr>
          <w:p w14:paraId="0EB5658D" w14:textId="77777777" w:rsidR="00C9256D" w:rsidRPr="00C844B0" w:rsidRDefault="00C9256D" w:rsidP="00C9256D">
            <w:pPr>
              <w:pStyle w:val="tabletext"/>
            </w:pPr>
            <w:r w:rsidRPr="00C844B0">
              <w:t>0.71</w:t>
            </w:r>
          </w:p>
        </w:tc>
        <w:tc>
          <w:tcPr>
            <w:tcW w:w="0" w:type="auto"/>
            <w:tcBorders>
              <w:top w:val="nil"/>
              <w:left w:val="nil"/>
              <w:bottom w:val="nil"/>
              <w:right w:val="nil"/>
            </w:tcBorders>
            <w:shd w:val="clear" w:color="auto" w:fill="auto"/>
            <w:noWrap/>
            <w:hideMark/>
          </w:tcPr>
          <w:p w14:paraId="6005883F" w14:textId="77777777" w:rsidR="00C9256D" w:rsidRPr="00C844B0" w:rsidRDefault="00C9256D" w:rsidP="00C9256D">
            <w:pPr>
              <w:pStyle w:val="tabletext"/>
            </w:pPr>
            <w:r w:rsidRPr="00C844B0">
              <w:t>0.87</w:t>
            </w:r>
          </w:p>
        </w:tc>
        <w:tc>
          <w:tcPr>
            <w:tcW w:w="0" w:type="auto"/>
            <w:tcBorders>
              <w:top w:val="nil"/>
              <w:left w:val="nil"/>
              <w:bottom w:val="nil"/>
              <w:right w:val="nil"/>
            </w:tcBorders>
            <w:shd w:val="clear" w:color="auto" w:fill="auto"/>
            <w:noWrap/>
            <w:hideMark/>
          </w:tcPr>
          <w:p w14:paraId="4F48B14D" w14:textId="77777777" w:rsidR="00C9256D" w:rsidRPr="00C844B0" w:rsidRDefault="00C9256D" w:rsidP="00C9256D">
            <w:pPr>
              <w:pStyle w:val="tabletext"/>
            </w:pPr>
            <w:r w:rsidRPr="00C844B0">
              <w:t>0.75</w:t>
            </w:r>
          </w:p>
        </w:tc>
      </w:tr>
      <w:tr w:rsidR="00C9256D" w:rsidRPr="009F4711" w14:paraId="7B5ACD0E" w14:textId="77777777" w:rsidTr="00C9256D">
        <w:tc>
          <w:tcPr>
            <w:tcW w:w="1843" w:type="dxa"/>
            <w:vMerge/>
            <w:tcBorders>
              <w:left w:val="nil"/>
              <w:bottom w:val="single" w:sz="4" w:space="0" w:color="auto"/>
              <w:right w:val="nil"/>
            </w:tcBorders>
            <w:shd w:val="clear" w:color="auto" w:fill="auto"/>
            <w:noWrap/>
            <w:vAlign w:val="center"/>
            <w:hideMark/>
          </w:tcPr>
          <w:p w14:paraId="0D6856FE" w14:textId="77777777" w:rsidR="00C9256D" w:rsidRPr="00C844B0" w:rsidRDefault="00C9256D" w:rsidP="00C9256D">
            <w:pPr>
              <w:pStyle w:val="tabletext"/>
            </w:pPr>
          </w:p>
        </w:tc>
        <w:tc>
          <w:tcPr>
            <w:tcW w:w="0" w:type="auto"/>
            <w:tcBorders>
              <w:top w:val="nil"/>
              <w:left w:val="nil"/>
              <w:bottom w:val="single" w:sz="4" w:space="0" w:color="auto"/>
              <w:right w:val="nil"/>
            </w:tcBorders>
            <w:shd w:val="clear" w:color="auto" w:fill="auto"/>
            <w:noWrap/>
            <w:hideMark/>
          </w:tcPr>
          <w:p w14:paraId="76DE1561" w14:textId="77777777" w:rsidR="00C9256D" w:rsidRPr="00C844B0" w:rsidRDefault="00C9256D" w:rsidP="00C9256D">
            <w:pPr>
              <w:pStyle w:val="tabletext"/>
            </w:pPr>
            <w:r>
              <w:t>Frequency</w:t>
            </w:r>
          </w:p>
        </w:tc>
        <w:tc>
          <w:tcPr>
            <w:tcW w:w="0" w:type="auto"/>
            <w:tcBorders>
              <w:top w:val="nil"/>
              <w:left w:val="nil"/>
              <w:bottom w:val="single" w:sz="4" w:space="0" w:color="auto"/>
              <w:right w:val="nil"/>
            </w:tcBorders>
            <w:shd w:val="clear" w:color="auto" w:fill="auto"/>
            <w:noWrap/>
            <w:hideMark/>
          </w:tcPr>
          <w:p w14:paraId="40E7128A" w14:textId="77777777" w:rsidR="00C9256D" w:rsidRPr="00C844B0" w:rsidRDefault="00C9256D" w:rsidP="00C9256D">
            <w:pPr>
              <w:pStyle w:val="tabletext"/>
            </w:pPr>
            <w:r w:rsidRPr="009F4711">
              <w:t>61</w:t>
            </w:r>
          </w:p>
        </w:tc>
        <w:tc>
          <w:tcPr>
            <w:tcW w:w="0" w:type="auto"/>
            <w:tcBorders>
              <w:top w:val="nil"/>
              <w:left w:val="nil"/>
              <w:bottom w:val="single" w:sz="4" w:space="0" w:color="auto"/>
              <w:right w:val="nil"/>
            </w:tcBorders>
            <w:shd w:val="clear" w:color="auto" w:fill="auto"/>
            <w:noWrap/>
            <w:hideMark/>
          </w:tcPr>
          <w:p w14:paraId="7BBF0BF9" w14:textId="77777777" w:rsidR="00C9256D" w:rsidRPr="00C844B0" w:rsidRDefault="00C9256D" w:rsidP="00C9256D">
            <w:pPr>
              <w:pStyle w:val="tabletext"/>
            </w:pPr>
            <w:r w:rsidRPr="00C844B0">
              <w:t>0.75</w:t>
            </w:r>
          </w:p>
        </w:tc>
        <w:tc>
          <w:tcPr>
            <w:tcW w:w="0" w:type="auto"/>
            <w:tcBorders>
              <w:top w:val="nil"/>
              <w:left w:val="nil"/>
              <w:bottom w:val="single" w:sz="4" w:space="0" w:color="auto"/>
              <w:right w:val="nil"/>
            </w:tcBorders>
            <w:shd w:val="clear" w:color="auto" w:fill="auto"/>
            <w:noWrap/>
            <w:hideMark/>
          </w:tcPr>
          <w:p w14:paraId="6B3B5979" w14:textId="77777777" w:rsidR="00C9256D" w:rsidRPr="00C844B0" w:rsidRDefault="00C9256D" w:rsidP="00C9256D">
            <w:pPr>
              <w:pStyle w:val="tabletext"/>
            </w:pPr>
            <w:r w:rsidRPr="00C844B0">
              <w:t>0.92</w:t>
            </w:r>
          </w:p>
        </w:tc>
        <w:tc>
          <w:tcPr>
            <w:tcW w:w="0" w:type="auto"/>
            <w:tcBorders>
              <w:top w:val="nil"/>
              <w:left w:val="nil"/>
              <w:bottom w:val="single" w:sz="4" w:space="0" w:color="auto"/>
              <w:right w:val="nil"/>
            </w:tcBorders>
            <w:shd w:val="clear" w:color="auto" w:fill="auto"/>
            <w:noWrap/>
            <w:hideMark/>
          </w:tcPr>
          <w:p w14:paraId="5EE46746" w14:textId="77777777" w:rsidR="00C9256D" w:rsidRPr="00C844B0" w:rsidRDefault="00C9256D" w:rsidP="00C9256D">
            <w:pPr>
              <w:pStyle w:val="tabletext"/>
            </w:pPr>
            <w:r w:rsidRPr="00C844B0">
              <w:t>0.79</w:t>
            </w:r>
          </w:p>
        </w:tc>
      </w:tr>
      <w:tr w:rsidR="00C9256D" w:rsidRPr="009F4711" w14:paraId="737332CE" w14:textId="77777777" w:rsidTr="00C9256D">
        <w:tc>
          <w:tcPr>
            <w:tcW w:w="1843" w:type="dxa"/>
            <w:vMerge w:val="restart"/>
            <w:tcBorders>
              <w:top w:val="single" w:sz="4" w:space="0" w:color="auto"/>
              <w:left w:val="nil"/>
              <w:right w:val="nil"/>
            </w:tcBorders>
            <w:shd w:val="clear" w:color="auto" w:fill="auto"/>
            <w:noWrap/>
            <w:vAlign w:val="center"/>
            <w:hideMark/>
          </w:tcPr>
          <w:p w14:paraId="6579901D" w14:textId="77777777" w:rsidR="00C9256D" w:rsidRPr="00C844B0" w:rsidRDefault="00C9256D" w:rsidP="00C9256D">
            <w:pPr>
              <w:pStyle w:val="tabletext"/>
            </w:pPr>
            <w:r w:rsidRPr="009F4711">
              <w:t>W</w:t>
            </w:r>
            <w:r w:rsidRPr="00C844B0">
              <w:t>hole plant height</w:t>
            </w:r>
          </w:p>
        </w:tc>
        <w:tc>
          <w:tcPr>
            <w:tcW w:w="0" w:type="auto"/>
            <w:tcBorders>
              <w:top w:val="single" w:sz="4" w:space="0" w:color="auto"/>
              <w:left w:val="nil"/>
              <w:bottom w:val="nil"/>
              <w:right w:val="nil"/>
            </w:tcBorders>
            <w:shd w:val="clear" w:color="auto" w:fill="auto"/>
            <w:noWrap/>
            <w:hideMark/>
          </w:tcPr>
          <w:p w14:paraId="039A9675" w14:textId="77777777" w:rsidR="00C9256D" w:rsidRPr="00C844B0" w:rsidRDefault="00C9256D" w:rsidP="00C9256D">
            <w:pPr>
              <w:pStyle w:val="tabletext"/>
            </w:pPr>
            <w:r>
              <w:t>C</w:t>
            </w:r>
            <w:r w:rsidRPr="00C844B0">
              <w:t>over</w:t>
            </w:r>
          </w:p>
        </w:tc>
        <w:tc>
          <w:tcPr>
            <w:tcW w:w="0" w:type="auto"/>
            <w:tcBorders>
              <w:top w:val="single" w:sz="4" w:space="0" w:color="auto"/>
              <w:left w:val="nil"/>
              <w:bottom w:val="nil"/>
              <w:right w:val="nil"/>
            </w:tcBorders>
            <w:shd w:val="clear" w:color="auto" w:fill="auto"/>
            <w:noWrap/>
            <w:hideMark/>
          </w:tcPr>
          <w:p w14:paraId="5C8ACBE3" w14:textId="77777777" w:rsidR="00C9256D" w:rsidRPr="00C844B0" w:rsidRDefault="00C9256D" w:rsidP="00C9256D">
            <w:pPr>
              <w:pStyle w:val="tabletext"/>
            </w:pPr>
            <w:r w:rsidRPr="009F4711">
              <w:t>60</w:t>
            </w:r>
          </w:p>
        </w:tc>
        <w:tc>
          <w:tcPr>
            <w:tcW w:w="0" w:type="auto"/>
            <w:tcBorders>
              <w:top w:val="single" w:sz="4" w:space="0" w:color="auto"/>
              <w:left w:val="nil"/>
              <w:bottom w:val="nil"/>
              <w:right w:val="nil"/>
            </w:tcBorders>
            <w:shd w:val="clear" w:color="auto" w:fill="auto"/>
            <w:noWrap/>
            <w:hideMark/>
          </w:tcPr>
          <w:p w14:paraId="53BCA4F2" w14:textId="77777777" w:rsidR="00C9256D" w:rsidRPr="00C844B0" w:rsidRDefault="00C9256D" w:rsidP="00C9256D">
            <w:pPr>
              <w:pStyle w:val="tabletext"/>
            </w:pPr>
            <w:r w:rsidRPr="00C844B0">
              <w:t>0.53</w:t>
            </w:r>
          </w:p>
        </w:tc>
        <w:tc>
          <w:tcPr>
            <w:tcW w:w="0" w:type="auto"/>
            <w:tcBorders>
              <w:top w:val="single" w:sz="4" w:space="0" w:color="auto"/>
              <w:left w:val="nil"/>
              <w:bottom w:val="nil"/>
              <w:right w:val="nil"/>
            </w:tcBorders>
            <w:shd w:val="clear" w:color="auto" w:fill="auto"/>
            <w:noWrap/>
            <w:hideMark/>
          </w:tcPr>
          <w:p w14:paraId="0710BDD2" w14:textId="77777777" w:rsidR="00C9256D" w:rsidRPr="00C844B0" w:rsidRDefault="00C9256D" w:rsidP="00C9256D">
            <w:pPr>
              <w:pStyle w:val="tabletext"/>
            </w:pPr>
            <w:r w:rsidRPr="00C844B0">
              <w:t>0.77</w:t>
            </w:r>
          </w:p>
        </w:tc>
        <w:tc>
          <w:tcPr>
            <w:tcW w:w="0" w:type="auto"/>
            <w:tcBorders>
              <w:top w:val="single" w:sz="4" w:space="0" w:color="auto"/>
              <w:left w:val="nil"/>
              <w:bottom w:val="nil"/>
              <w:right w:val="nil"/>
            </w:tcBorders>
            <w:shd w:val="clear" w:color="auto" w:fill="auto"/>
            <w:noWrap/>
            <w:hideMark/>
          </w:tcPr>
          <w:p w14:paraId="284ED5F7" w14:textId="77777777" w:rsidR="00C9256D" w:rsidRPr="00C844B0" w:rsidRDefault="00C9256D" w:rsidP="00C9256D">
            <w:pPr>
              <w:pStyle w:val="tabletext"/>
            </w:pPr>
            <w:r w:rsidRPr="00C844B0">
              <w:t>0.63</w:t>
            </w:r>
          </w:p>
        </w:tc>
      </w:tr>
      <w:tr w:rsidR="00C9256D" w:rsidRPr="009F4711" w14:paraId="4D7C935C" w14:textId="77777777" w:rsidTr="00F27C7C">
        <w:tc>
          <w:tcPr>
            <w:tcW w:w="1843" w:type="dxa"/>
            <w:vMerge/>
            <w:tcBorders>
              <w:left w:val="nil"/>
              <w:right w:val="nil"/>
            </w:tcBorders>
            <w:shd w:val="clear" w:color="auto" w:fill="auto"/>
            <w:noWrap/>
            <w:hideMark/>
          </w:tcPr>
          <w:p w14:paraId="2570ED04" w14:textId="77777777" w:rsidR="00C9256D" w:rsidRPr="00C844B0" w:rsidRDefault="00C9256D" w:rsidP="00C9256D">
            <w:pPr>
              <w:pStyle w:val="tabletext"/>
            </w:pPr>
          </w:p>
        </w:tc>
        <w:tc>
          <w:tcPr>
            <w:tcW w:w="0" w:type="auto"/>
            <w:tcBorders>
              <w:top w:val="nil"/>
              <w:left w:val="nil"/>
              <w:bottom w:val="nil"/>
              <w:right w:val="nil"/>
            </w:tcBorders>
            <w:shd w:val="clear" w:color="auto" w:fill="auto"/>
            <w:noWrap/>
            <w:hideMark/>
          </w:tcPr>
          <w:p w14:paraId="784186BF" w14:textId="77777777" w:rsidR="00C9256D" w:rsidRPr="00C844B0" w:rsidRDefault="00C9256D" w:rsidP="00C9256D">
            <w:pPr>
              <w:pStyle w:val="tabletext"/>
            </w:pPr>
            <w:r>
              <w:t>C</w:t>
            </w:r>
            <w:r w:rsidRPr="00C844B0">
              <w:t>over</w:t>
            </w:r>
            <w:r>
              <w:t xml:space="preserve"> presence-only</w:t>
            </w:r>
          </w:p>
        </w:tc>
        <w:tc>
          <w:tcPr>
            <w:tcW w:w="0" w:type="auto"/>
            <w:tcBorders>
              <w:top w:val="nil"/>
              <w:left w:val="nil"/>
              <w:bottom w:val="nil"/>
              <w:right w:val="nil"/>
            </w:tcBorders>
            <w:shd w:val="clear" w:color="auto" w:fill="auto"/>
            <w:noWrap/>
            <w:hideMark/>
          </w:tcPr>
          <w:p w14:paraId="04DB347E" w14:textId="77777777" w:rsidR="00C9256D" w:rsidRPr="00C844B0" w:rsidRDefault="00C9256D" w:rsidP="00C9256D">
            <w:pPr>
              <w:pStyle w:val="tabletext"/>
            </w:pPr>
            <w:r w:rsidRPr="009F4711">
              <w:t>57</w:t>
            </w:r>
          </w:p>
        </w:tc>
        <w:tc>
          <w:tcPr>
            <w:tcW w:w="0" w:type="auto"/>
            <w:tcBorders>
              <w:top w:val="nil"/>
              <w:left w:val="nil"/>
              <w:bottom w:val="nil"/>
              <w:right w:val="nil"/>
            </w:tcBorders>
            <w:shd w:val="clear" w:color="auto" w:fill="auto"/>
            <w:noWrap/>
            <w:hideMark/>
          </w:tcPr>
          <w:p w14:paraId="687976D9" w14:textId="77777777" w:rsidR="00C9256D" w:rsidRPr="00C844B0" w:rsidRDefault="00C9256D" w:rsidP="00C9256D">
            <w:pPr>
              <w:pStyle w:val="tabletext"/>
            </w:pPr>
            <w:r w:rsidRPr="00C844B0">
              <w:t>0.50</w:t>
            </w:r>
          </w:p>
        </w:tc>
        <w:tc>
          <w:tcPr>
            <w:tcW w:w="0" w:type="auto"/>
            <w:tcBorders>
              <w:top w:val="nil"/>
              <w:left w:val="nil"/>
              <w:bottom w:val="nil"/>
              <w:right w:val="nil"/>
            </w:tcBorders>
            <w:shd w:val="clear" w:color="auto" w:fill="auto"/>
            <w:noWrap/>
            <w:hideMark/>
          </w:tcPr>
          <w:p w14:paraId="16D16210" w14:textId="77777777" w:rsidR="00C9256D" w:rsidRPr="00C844B0" w:rsidRDefault="00C9256D" w:rsidP="00C9256D">
            <w:pPr>
              <w:pStyle w:val="tabletext"/>
            </w:pPr>
            <w:r w:rsidRPr="00C844B0">
              <w:t>0.78</w:t>
            </w:r>
          </w:p>
        </w:tc>
        <w:tc>
          <w:tcPr>
            <w:tcW w:w="0" w:type="auto"/>
            <w:tcBorders>
              <w:top w:val="nil"/>
              <w:left w:val="nil"/>
              <w:bottom w:val="nil"/>
              <w:right w:val="nil"/>
            </w:tcBorders>
            <w:shd w:val="clear" w:color="auto" w:fill="auto"/>
            <w:noWrap/>
            <w:hideMark/>
          </w:tcPr>
          <w:p w14:paraId="79ABC39F" w14:textId="77777777" w:rsidR="00C9256D" w:rsidRPr="00C844B0" w:rsidRDefault="00C9256D" w:rsidP="00C9256D">
            <w:pPr>
              <w:pStyle w:val="tabletext"/>
            </w:pPr>
            <w:r w:rsidRPr="00C844B0">
              <w:t>0.62</w:t>
            </w:r>
          </w:p>
        </w:tc>
      </w:tr>
      <w:tr w:rsidR="00C9256D" w:rsidRPr="009F4711" w14:paraId="5C22A60A" w14:textId="77777777" w:rsidTr="00F27C7C">
        <w:tc>
          <w:tcPr>
            <w:tcW w:w="1843" w:type="dxa"/>
            <w:vMerge/>
            <w:tcBorders>
              <w:left w:val="nil"/>
              <w:bottom w:val="single" w:sz="4" w:space="0" w:color="auto"/>
              <w:right w:val="nil"/>
            </w:tcBorders>
            <w:shd w:val="clear" w:color="auto" w:fill="auto"/>
            <w:noWrap/>
            <w:hideMark/>
          </w:tcPr>
          <w:p w14:paraId="3F2E2024" w14:textId="77777777" w:rsidR="00C9256D" w:rsidRPr="00C844B0" w:rsidRDefault="00C9256D" w:rsidP="00C9256D">
            <w:pPr>
              <w:pStyle w:val="tabletext"/>
            </w:pPr>
          </w:p>
        </w:tc>
        <w:tc>
          <w:tcPr>
            <w:tcW w:w="0" w:type="auto"/>
            <w:tcBorders>
              <w:top w:val="nil"/>
              <w:left w:val="nil"/>
              <w:bottom w:val="single" w:sz="4" w:space="0" w:color="auto"/>
              <w:right w:val="nil"/>
            </w:tcBorders>
            <w:shd w:val="clear" w:color="auto" w:fill="auto"/>
            <w:noWrap/>
            <w:hideMark/>
          </w:tcPr>
          <w:p w14:paraId="6793D83F" w14:textId="77777777" w:rsidR="00C9256D" w:rsidRPr="00C844B0" w:rsidRDefault="00C9256D" w:rsidP="00C9256D">
            <w:pPr>
              <w:pStyle w:val="tabletext"/>
            </w:pPr>
            <w:r>
              <w:t>Frequency</w:t>
            </w:r>
          </w:p>
        </w:tc>
        <w:tc>
          <w:tcPr>
            <w:tcW w:w="0" w:type="auto"/>
            <w:tcBorders>
              <w:top w:val="nil"/>
              <w:left w:val="nil"/>
              <w:bottom w:val="single" w:sz="4" w:space="0" w:color="auto"/>
              <w:right w:val="nil"/>
            </w:tcBorders>
            <w:shd w:val="clear" w:color="auto" w:fill="auto"/>
            <w:noWrap/>
            <w:hideMark/>
          </w:tcPr>
          <w:p w14:paraId="2DDBDA8E" w14:textId="77777777" w:rsidR="00C9256D" w:rsidRPr="00C844B0" w:rsidRDefault="00C9256D" w:rsidP="00C9256D">
            <w:pPr>
              <w:pStyle w:val="tabletext"/>
            </w:pPr>
            <w:r w:rsidRPr="009F4711">
              <w:t>56</w:t>
            </w:r>
          </w:p>
        </w:tc>
        <w:tc>
          <w:tcPr>
            <w:tcW w:w="0" w:type="auto"/>
            <w:tcBorders>
              <w:top w:val="nil"/>
              <w:left w:val="nil"/>
              <w:bottom w:val="single" w:sz="4" w:space="0" w:color="auto"/>
              <w:right w:val="nil"/>
            </w:tcBorders>
            <w:shd w:val="clear" w:color="auto" w:fill="auto"/>
            <w:noWrap/>
            <w:hideMark/>
          </w:tcPr>
          <w:p w14:paraId="665C421D" w14:textId="77777777" w:rsidR="00C9256D" w:rsidRPr="00C844B0" w:rsidRDefault="00C9256D" w:rsidP="00C9256D">
            <w:pPr>
              <w:pStyle w:val="tabletext"/>
            </w:pPr>
            <w:r w:rsidRPr="00C844B0">
              <w:t>0.48</w:t>
            </w:r>
          </w:p>
        </w:tc>
        <w:tc>
          <w:tcPr>
            <w:tcW w:w="0" w:type="auto"/>
            <w:tcBorders>
              <w:top w:val="nil"/>
              <w:left w:val="nil"/>
              <w:bottom w:val="single" w:sz="4" w:space="0" w:color="auto"/>
              <w:right w:val="nil"/>
            </w:tcBorders>
            <w:shd w:val="clear" w:color="auto" w:fill="auto"/>
            <w:noWrap/>
            <w:hideMark/>
          </w:tcPr>
          <w:p w14:paraId="7C614C24" w14:textId="77777777" w:rsidR="00C9256D" w:rsidRPr="00C844B0" w:rsidRDefault="00C9256D" w:rsidP="00C9256D">
            <w:pPr>
              <w:pStyle w:val="tabletext"/>
            </w:pPr>
            <w:r w:rsidRPr="00C844B0">
              <w:t>0.79</w:t>
            </w:r>
          </w:p>
        </w:tc>
        <w:tc>
          <w:tcPr>
            <w:tcW w:w="0" w:type="auto"/>
            <w:tcBorders>
              <w:top w:val="nil"/>
              <w:left w:val="nil"/>
              <w:bottom w:val="single" w:sz="4" w:space="0" w:color="auto"/>
              <w:right w:val="nil"/>
            </w:tcBorders>
            <w:shd w:val="clear" w:color="auto" w:fill="auto"/>
            <w:noWrap/>
            <w:hideMark/>
          </w:tcPr>
          <w:p w14:paraId="3BB2F9B7" w14:textId="77777777" w:rsidR="00C9256D" w:rsidRPr="00C844B0" w:rsidRDefault="00C9256D" w:rsidP="00C9256D">
            <w:pPr>
              <w:pStyle w:val="tabletext"/>
            </w:pPr>
            <w:r w:rsidRPr="00C844B0">
              <w:t>0.57</w:t>
            </w:r>
          </w:p>
        </w:tc>
      </w:tr>
    </w:tbl>
    <w:p w14:paraId="3848AF31" w14:textId="77777777" w:rsidR="00C9256D" w:rsidRDefault="00C9256D" w:rsidP="00C9256D"/>
    <w:p w14:paraId="5775B14F" w14:textId="28A18069" w:rsidR="00C9256D" w:rsidRDefault="00C9256D" w:rsidP="00C9256D">
      <w:r w:rsidRPr="00221EC6">
        <w:t xml:space="preserve">As with the phylogenetic tests, we estimated the </w:t>
      </w:r>
      <w:r>
        <w:t>disparity</w:t>
      </w:r>
      <w:r w:rsidRPr="00221EC6">
        <w:t xml:space="preserve"> in </w:t>
      </w:r>
      <w:r>
        <w:t xml:space="preserve">phylogenetic </w:t>
      </w:r>
      <w:r w:rsidRPr="00221EC6">
        <w:t>dispersion between the</w:t>
      </w:r>
      <w:r>
        <w:t xml:space="preserve"> dominant and non-dominant species for each partitioning, and tested if the difference was likely to be equal to zero (treating each site as a replicate). Given the scarce trait data, fewer sites were included in each trait analysis than in the phylogenetic analysis (</w:t>
      </w:r>
      <w:r>
        <w:fldChar w:fldCharType="begin"/>
      </w:r>
      <w:r>
        <w:instrText xml:space="preserve"> REF _Ref59381709 \h </w:instrText>
      </w:r>
      <w:r>
        <w:fldChar w:fldCharType="separate"/>
      </w:r>
      <w:r w:rsidRPr="00221EC6">
        <w:t>Table</w:t>
      </w:r>
      <w:r>
        <w:t xml:space="preserve"> SI</w:t>
      </w:r>
      <w:r>
        <w:rPr>
          <w:noProof/>
        </w:rPr>
        <w:t>4</w:t>
      </w:r>
      <w:r>
        <w:fldChar w:fldCharType="end"/>
      </w:r>
      <w:r>
        <w:t>).</w:t>
      </w:r>
    </w:p>
    <w:p w14:paraId="591FFA9D" w14:textId="77777777" w:rsidR="00C9256D" w:rsidRDefault="00C9256D" w:rsidP="00C9256D"/>
    <w:p w14:paraId="3ADE4DD9" w14:textId="38AC9C55" w:rsidR="00C9256D" w:rsidRPr="00221EC6" w:rsidRDefault="00C9256D" w:rsidP="00C9256D">
      <w:pPr>
        <w:pStyle w:val="Caption"/>
      </w:pPr>
      <w:bookmarkStart w:id="8" w:name="_Ref59381709"/>
      <w:r w:rsidRPr="00221EC6">
        <w:t>Table</w:t>
      </w:r>
      <w:r>
        <w:t xml:space="preserve"> SI</w:t>
      </w:r>
      <w:r w:rsidRPr="00221EC6">
        <w:fldChar w:fldCharType="begin"/>
      </w:r>
      <w:r w:rsidRPr="00221EC6">
        <w:instrText xml:space="preserve"> SEQ Table</w:instrText>
      </w:r>
      <w:r>
        <w:instrText>_SI</w:instrText>
      </w:r>
      <w:r w:rsidRPr="00221EC6">
        <w:instrText xml:space="preserve"> \* ARABIC </w:instrText>
      </w:r>
      <w:r w:rsidRPr="00221EC6">
        <w:fldChar w:fldCharType="separate"/>
      </w:r>
      <w:r>
        <w:rPr>
          <w:noProof/>
        </w:rPr>
        <w:t>4</w:t>
      </w:r>
      <w:r w:rsidRPr="00221EC6">
        <w:fldChar w:fldCharType="end"/>
      </w:r>
      <w:bookmarkEnd w:id="8"/>
      <w:r w:rsidRPr="00221EC6">
        <w:t xml:space="preserve"> Number of sites with enough information to be included in each analysis using the different dominance criteria.</w:t>
      </w:r>
      <w:r>
        <w:t xml:space="preserve"> In total, the full dataset was composed of 78 sites for which we have full phylogenetic information.</w:t>
      </w:r>
    </w:p>
    <w:tbl>
      <w:tblPr>
        <w:tblW w:w="0" w:type="auto"/>
        <w:tblLook w:val="04A0" w:firstRow="1" w:lastRow="0" w:firstColumn="1" w:lastColumn="0" w:noHBand="0" w:noVBand="1"/>
      </w:tblPr>
      <w:tblGrid>
        <w:gridCol w:w="2410"/>
        <w:gridCol w:w="1061"/>
        <w:gridCol w:w="738"/>
        <w:gridCol w:w="1127"/>
        <w:gridCol w:w="1394"/>
      </w:tblGrid>
      <w:tr w:rsidR="00C9256D" w:rsidRPr="00221EC6" w14:paraId="62FA79E6" w14:textId="77777777" w:rsidTr="00C9256D">
        <w:trPr>
          <w:trHeight w:val="20"/>
        </w:trPr>
        <w:tc>
          <w:tcPr>
            <w:tcW w:w="2410" w:type="dxa"/>
            <w:tcBorders>
              <w:top w:val="single" w:sz="4" w:space="0" w:color="auto"/>
              <w:left w:val="nil"/>
              <w:bottom w:val="single" w:sz="4" w:space="0" w:color="auto"/>
              <w:right w:val="nil"/>
            </w:tcBorders>
            <w:shd w:val="clear" w:color="auto" w:fill="auto"/>
            <w:noWrap/>
            <w:vAlign w:val="center"/>
            <w:hideMark/>
          </w:tcPr>
          <w:p w14:paraId="7D5D5E7C" w14:textId="77777777" w:rsidR="00C9256D" w:rsidRPr="00221EC6" w:rsidRDefault="00C9256D" w:rsidP="00C9256D">
            <w:pPr>
              <w:pStyle w:val="tabletext"/>
              <w:rPr>
                <w:b/>
                <w:bCs/>
              </w:rPr>
            </w:pPr>
            <w:r w:rsidRPr="00221EC6">
              <w:rPr>
                <w:b/>
                <w:bCs/>
              </w:rPr>
              <w:t>Trait</w:t>
            </w:r>
          </w:p>
        </w:tc>
        <w:tc>
          <w:tcPr>
            <w:tcW w:w="0" w:type="auto"/>
            <w:tcBorders>
              <w:top w:val="single" w:sz="4" w:space="0" w:color="auto"/>
              <w:left w:val="nil"/>
              <w:bottom w:val="single" w:sz="4" w:space="0" w:color="auto"/>
              <w:right w:val="nil"/>
            </w:tcBorders>
            <w:shd w:val="clear" w:color="auto" w:fill="auto"/>
            <w:noWrap/>
            <w:vAlign w:val="center"/>
            <w:hideMark/>
          </w:tcPr>
          <w:p w14:paraId="01FEC764" w14:textId="77777777" w:rsidR="00C9256D" w:rsidRPr="00221EC6" w:rsidRDefault="00C9256D" w:rsidP="00C9256D">
            <w:pPr>
              <w:pStyle w:val="tabletext"/>
              <w:rPr>
                <w:b/>
                <w:bCs/>
              </w:rPr>
            </w:pPr>
            <w:r w:rsidRPr="00221EC6">
              <w:rPr>
                <w:b/>
                <w:bCs/>
              </w:rPr>
              <w:t>Partitions</w:t>
            </w:r>
          </w:p>
        </w:tc>
        <w:tc>
          <w:tcPr>
            <w:tcW w:w="0" w:type="auto"/>
            <w:tcBorders>
              <w:top w:val="single" w:sz="4" w:space="0" w:color="auto"/>
              <w:left w:val="nil"/>
              <w:bottom w:val="single" w:sz="4" w:space="0" w:color="auto"/>
              <w:right w:val="nil"/>
            </w:tcBorders>
            <w:shd w:val="clear" w:color="auto" w:fill="auto"/>
            <w:noWrap/>
            <w:vAlign w:val="center"/>
            <w:hideMark/>
          </w:tcPr>
          <w:p w14:paraId="2634030C" w14:textId="77777777" w:rsidR="00C9256D" w:rsidRPr="00221EC6" w:rsidRDefault="00C9256D" w:rsidP="00C9256D">
            <w:pPr>
              <w:pStyle w:val="tabletext"/>
              <w:rPr>
                <w:b/>
                <w:bCs/>
              </w:rPr>
            </w:pPr>
            <w:r w:rsidRPr="00221EC6">
              <w:rPr>
                <w:b/>
                <w:bCs/>
              </w:rPr>
              <w:t>Cover</w:t>
            </w:r>
          </w:p>
        </w:tc>
        <w:tc>
          <w:tcPr>
            <w:tcW w:w="0" w:type="auto"/>
            <w:tcBorders>
              <w:top w:val="single" w:sz="4" w:space="0" w:color="auto"/>
              <w:left w:val="nil"/>
              <w:bottom w:val="single" w:sz="4" w:space="0" w:color="auto"/>
              <w:right w:val="nil"/>
            </w:tcBorders>
            <w:shd w:val="clear" w:color="auto" w:fill="auto"/>
            <w:noWrap/>
            <w:vAlign w:val="center"/>
            <w:hideMark/>
          </w:tcPr>
          <w:p w14:paraId="3465B449" w14:textId="77777777" w:rsidR="00C9256D" w:rsidRPr="00221EC6" w:rsidRDefault="00C9256D" w:rsidP="00C9256D">
            <w:pPr>
              <w:pStyle w:val="tabletext"/>
              <w:rPr>
                <w:b/>
                <w:bCs/>
              </w:rPr>
            </w:pPr>
            <w:r w:rsidRPr="00221EC6">
              <w:rPr>
                <w:b/>
                <w:bCs/>
              </w:rPr>
              <w:t>Frequency</w:t>
            </w:r>
          </w:p>
        </w:tc>
        <w:tc>
          <w:tcPr>
            <w:tcW w:w="0" w:type="auto"/>
            <w:tcBorders>
              <w:top w:val="single" w:sz="4" w:space="0" w:color="auto"/>
              <w:left w:val="nil"/>
              <w:bottom w:val="single" w:sz="4" w:space="0" w:color="auto"/>
              <w:right w:val="nil"/>
            </w:tcBorders>
            <w:shd w:val="clear" w:color="auto" w:fill="auto"/>
            <w:noWrap/>
            <w:vAlign w:val="center"/>
            <w:hideMark/>
          </w:tcPr>
          <w:p w14:paraId="3CC22598" w14:textId="77777777" w:rsidR="00C9256D" w:rsidRPr="00221EC6" w:rsidRDefault="00C9256D" w:rsidP="00C9256D">
            <w:pPr>
              <w:pStyle w:val="tabletext"/>
              <w:rPr>
                <w:b/>
                <w:bCs/>
              </w:rPr>
            </w:pPr>
            <w:r w:rsidRPr="00221EC6">
              <w:rPr>
                <w:b/>
                <w:bCs/>
              </w:rPr>
              <w:t>Cover</w:t>
            </w:r>
          </w:p>
          <w:p w14:paraId="7F290039" w14:textId="77777777" w:rsidR="00C9256D" w:rsidRPr="00221EC6" w:rsidRDefault="00C9256D" w:rsidP="00C9256D">
            <w:pPr>
              <w:pStyle w:val="tabletext"/>
              <w:rPr>
                <w:b/>
                <w:bCs/>
              </w:rPr>
            </w:pPr>
            <w:r w:rsidRPr="00221EC6">
              <w:rPr>
                <w:b/>
                <w:bCs/>
              </w:rPr>
              <w:t>presence-only</w:t>
            </w:r>
          </w:p>
        </w:tc>
      </w:tr>
      <w:tr w:rsidR="00C9256D" w:rsidRPr="00221EC6" w14:paraId="0917CFB4" w14:textId="77777777" w:rsidTr="00C9256D">
        <w:trPr>
          <w:trHeight w:val="20"/>
        </w:trPr>
        <w:tc>
          <w:tcPr>
            <w:tcW w:w="2410" w:type="dxa"/>
            <w:vMerge w:val="restart"/>
            <w:tcBorders>
              <w:top w:val="single" w:sz="4" w:space="0" w:color="auto"/>
              <w:left w:val="nil"/>
              <w:right w:val="nil"/>
            </w:tcBorders>
            <w:shd w:val="clear" w:color="auto" w:fill="auto"/>
            <w:noWrap/>
            <w:vAlign w:val="center"/>
            <w:hideMark/>
          </w:tcPr>
          <w:p w14:paraId="3E235BAC" w14:textId="77777777" w:rsidR="00C9256D" w:rsidRPr="00221EC6" w:rsidRDefault="00C9256D" w:rsidP="00C9256D">
            <w:pPr>
              <w:pStyle w:val="tabletext"/>
            </w:pPr>
            <w:r w:rsidRPr="00221EC6">
              <w:t>Leaf dry mass per leaf fresh mass</w:t>
            </w:r>
          </w:p>
        </w:tc>
        <w:tc>
          <w:tcPr>
            <w:tcW w:w="0" w:type="auto"/>
            <w:tcBorders>
              <w:top w:val="single" w:sz="4" w:space="0" w:color="auto"/>
              <w:left w:val="nil"/>
              <w:bottom w:val="nil"/>
              <w:right w:val="nil"/>
            </w:tcBorders>
            <w:shd w:val="clear" w:color="auto" w:fill="auto"/>
            <w:noWrap/>
            <w:vAlign w:val="bottom"/>
            <w:hideMark/>
          </w:tcPr>
          <w:p w14:paraId="6D80BDA2" w14:textId="77777777" w:rsidR="00C9256D" w:rsidRPr="00221EC6" w:rsidRDefault="00C9256D" w:rsidP="00C9256D">
            <w:pPr>
              <w:pStyle w:val="tabletext"/>
            </w:pPr>
            <w:r w:rsidRPr="00221EC6">
              <w:t>2</w:t>
            </w:r>
          </w:p>
        </w:tc>
        <w:tc>
          <w:tcPr>
            <w:tcW w:w="0" w:type="auto"/>
            <w:tcBorders>
              <w:top w:val="single" w:sz="4" w:space="0" w:color="auto"/>
              <w:left w:val="nil"/>
              <w:bottom w:val="nil"/>
              <w:right w:val="nil"/>
            </w:tcBorders>
            <w:shd w:val="clear" w:color="auto" w:fill="auto"/>
            <w:noWrap/>
            <w:vAlign w:val="bottom"/>
            <w:hideMark/>
          </w:tcPr>
          <w:p w14:paraId="7EF7DC1F" w14:textId="77777777" w:rsidR="00C9256D" w:rsidRPr="00221EC6" w:rsidRDefault="00C9256D" w:rsidP="00C9256D">
            <w:pPr>
              <w:pStyle w:val="tabletext"/>
            </w:pPr>
            <w:r w:rsidRPr="00221EC6">
              <w:t>19</w:t>
            </w:r>
          </w:p>
        </w:tc>
        <w:tc>
          <w:tcPr>
            <w:tcW w:w="0" w:type="auto"/>
            <w:tcBorders>
              <w:top w:val="single" w:sz="4" w:space="0" w:color="auto"/>
              <w:left w:val="nil"/>
              <w:bottom w:val="nil"/>
              <w:right w:val="nil"/>
            </w:tcBorders>
            <w:shd w:val="clear" w:color="auto" w:fill="auto"/>
            <w:noWrap/>
            <w:vAlign w:val="bottom"/>
            <w:hideMark/>
          </w:tcPr>
          <w:p w14:paraId="05C47D3D" w14:textId="77777777" w:rsidR="00C9256D" w:rsidRPr="00221EC6" w:rsidRDefault="00C9256D" w:rsidP="00C9256D">
            <w:pPr>
              <w:pStyle w:val="tabletext"/>
            </w:pPr>
            <w:r w:rsidRPr="00221EC6">
              <w:t>20</w:t>
            </w:r>
          </w:p>
        </w:tc>
        <w:tc>
          <w:tcPr>
            <w:tcW w:w="0" w:type="auto"/>
            <w:tcBorders>
              <w:top w:val="single" w:sz="4" w:space="0" w:color="auto"/>
              <w:left w:val="nil"/>
              <w:bottom w:val="nil"/>
              <w:right w:val="nil"/>
            </w:tcBorders>
            <w:shd w:val="clear" w:color="auto" w:fill="auto"/>
            <w:noWrap/>
            <w:vAlign w:val="bottom"/>
            <w:hideMark/>
          </w:tcPr>
          <w:p w14:paraId="5E0536E5" w14:textId="77777777" w:rsidR="00C9256D" w:rsidRPr="00221EC6" w:rsidRDefault="00C9256D" w:rsidP="00C9256D">
            <w:pPr>
              <w:pStyle w:val="tabletext"/>
            </w:pPr>
            <w:r w:rsidRPr="00221EC6">
              <w:t>18</w:t>
            </w:r>
          </w:p>
        </w:tc>
      </w:tr>
      <w:tr w:rsidR="00C9256D" w:rsidRPr="00221EC6" w14:paraId="0473982F" w14:textId="77777777" w:rsidTr="00C9256D">
        <w:trPr>
          <w:trHeight w:val="20"/>
        </w:trPr>
        <w:tc>
          <w:tcPr>
            <w:tcW w:w="2410" w:type="dxa"/>
            <w:vMerge/>
            <w:tcBorders>
              <w:left w:val="nil"/>
              <w:bottom w:val="single" w:sz="4" w:space="0" w:color="auto"/>
              <w:right w:val="nil"/>
            </w:tcBorders>
            <w:shd w:val="clear" w:color="auto" w:fill="auto"/>
            <w:noWrap/>
            <w:vAlign w:val="center"/>
            <w:hideMark/>
          </w:tcPr>
          <w:p w14:paraId="7187DE11" w14:textId="77777777" w:rsidR="00C9256D" w:rsidRPr="00221EC6" w:rsidRDefault="00C9256D" w:rsidP="00C9256D">
            <w:pPr>
              <w:pStyle w:val="tabletext"/>
            </w:pPr>
          </w:p>
        </w:tc>
        <w:tc>
          <w:tcPr>
            <w:tcW w:w="0" w:type="auto"/>
            <w:tcBorders>
              <w:top w:val="nil"/>
              <w:left w:val="nil"/>
              <w:bottom w:val="single" w:sz="4" w:space="0" w:color="auto"/>
              <w:right w:val="nil"/>
            </w:tcBorders>
            <w:shd w:val="clear" w:color="auto" w:fill="auto"/>
            <w:noWrap/>
            <w:vAlign w:val="bottom"/>
            <w:hideMark/>
          </w:tcPr>
          <w:p w14:paraId="045F1C6E" w14:textId="77777777" w:rsidR="00C9256D" w:rsidRPr="00221EC6" w:rsidRDefault="00C9256D" w:rsidP="00C9256D">
            <w:pPr>
              <w:pStyle w:val="tabletext"/>
            </w:pPr>
            <w:r w:rsidRPr="00221EC6">
              <w:t>3</w:t>
            </w:r>
          </w:p>
        </w:tc>
        <w:tc>
          <w:tcPr>
            <w:tcW w:w="0" w:type="auto"/>
            <w:tcBorders>
              <w:top w:val="nil"/>
              <w:left w:val="nil"/>
              <w:bottom w:val="single" w:sz="4" w:space="0" w:color="auto"/>
              <w:right w:val="nil"/>
            </w:tcBorders>
            <w:shd w:val="clear" w:color="auto" w:fill="auto"/>
            <w:noWrap/>
            <w:vAlign w:val="bottom"/>
            <w:hideMark/>
          </w:tcPr>
          <w:p w14:paraId="4FD24AF4" w14:textId="77777777" w:rsidR="00C9256D" w:rsidRPr="00221EC6" w:rsidRDefault="00C9256D" w:rsidP="00C9256D">
            <w:pPr>
              <w:pStyle w:val="tabletext"/>
            </w:pPr>
            <w:r w:rsidRPr="00221EC6">
              <w:t>20</w:t>
            </w:r>
          </w:p>
        </w:tc>
        <w:tc>
          <w:tcPr>
            <w:tcW w:w="0" w:type="auto"/>
            <w:tcBorders>
              <w:top w:val="nil"/>
              <w:left w:val="nil"/>
              <w:bottom w:val="single" w:sz="4" w:space="0" w:color="auto"/>
              <w:right w:val="nil"/>
            </w:tcBorders>
            <w:shd w:val="clear" w:color="auto" w:fill="auto"/>
            <w:noWrap/>
            <w:vAlign w:val="bottom"/>
            <w:hideMark/>
          </w:tcPr>
          <w:p w14:paraId="519245CF" w14:textId="77777777" w:rsidR="00C9256D" w:rsidRPr="00221EC6" w:rsidRDefault="00C9256D" w:rsidP="00C9256D">
            <w:pPr>
              <w:pStyle w:val="tabletext"/>
            </w:pPr>
            <w:r w:rsidRPr="00221EC6">
              <w:t>18</w:t>
            </w:r>
          </w:p>
        </w:tc>
        <w:tc>
          <w:tcPr>
            <w:tcW w:w="0" w:type="auto"/>
            <w:tcBorders>
              <w:top w:val="nil"/>
              <w:left w:val="nil"/>
              <w:bottom w:val="single" w:sz="4" w:space="0" w:color="auto"/>
              <w:right w:val="nil"/>
            </w:tcBorders>
            <w:shd w:val="clear" w:color="auto" w:fill="auto"/>
            <w:noWrap/>
            <w:vAlign w:val="bottom"/>
            <w:hideMark/>
          </w:tcPr>
          <w:p w14:paraId="738D07DD" w14:textId="77777777" w:rsidR="00C9256D" w:rsidRPr="00221EC6" w:rsidRDefault="00C9256D" w:rsidP="00C9256D">
            <w:pPr>
              <w:pStyle w:val="tabletext"/>
            </w:pPr>
            <w:r w:rsidRPr="00221EC6">
              <w:t>25</w:t>
            </w:r>
          </w:p>
        </w:tc>
      </w:tr>
      <w:tr w:rsidR="00C9256D" w:rsidRPr="00221EC6" w14:paraId="2F0BC1D9" w14:textId="77777777" w:rsidTr="00C9256D">
        <w:trPr>
          <w:trHeight w:val="20"/>
        </w:trPr>
        <w:tc>
          <w:tcPr>
            <w:tcW w:w="2410" w:type="dxa"/>
            <w:vMerge w:val="restart"/>
            <w:tcBorders>
              <w:top w:val="single" w:sz="4" w:space="0" w:color="auto"/>
              <w:left w:val="nil"/>
              <w:right w:val="nil"/>
            </w:tcBorders>
            <w:shd w:val="clear" w:color="auto" w:fill="auto"/>
            <w:noWrap/>
            <w:vAlign w:val="center"/>
            <w:hideMark/>
          </w:tcPr>
          <w:p w14:paraId="61A1EFF4" w14:textId="77777777" w:rsidR="00C9256D" w:rsidRPr="00221EC6" w:rsidRDefault="00C9256D" w:rsidP="00C9256D">
            <w:pPr>
              <w:pStyle w:val="tabletext"/>
            </w:pPr>
            <w:r w:rsidRPr="00221EC6">
              <w:t>Leaf nitrogen content per leaf dry mass</w:t>
            </w:r>
          </w:p>
        </w:tc>
        <w:tc>
          <w:tcPr>
            <w:tcW w:w="0" w:type="auto"/>
            <w:tcBorders>
              <w:top w:val="single" w:sz="4" w:space="0" w:color="auto"/>
              <w:left w:val="nil"/>
              <w:bottom w:val="nil"/>
              <w:right w:val="nil"/>
            </w:tcBorders>
            <w:shd w:val="clear" w:color="auto" w:fill="auto"/>
            <w:noWrap/>
            <w:vAlign w:val="bottom"/>
            <w:hideMark/>
          </w:tcPr>
          <w:p w14:paraId="1C7F5C47" w14:textId="77777777" w:rsidR="00C9256D" w:rsidRPr="00221EC6" w:rsidRDefault="00C9256D" w:rsidP="00C9256D">
            <w:pPr>
              <w:pStyle w:val="tabletext"/>
            </w:pPr>
            <w:r w:rsidRPr="00221EC6">
              <w:t>2</w:t>
            </w:r>
          </w:p>
        </w:tc>
        <w:tc>
          <w:tcPr>
            <w:tcW w:w="0" w:type="auto"/>
            <w:tcBorders>
              <w:top w:val="single" w:sz="4" w:space="0" w:color="auto"/>
              <w:left w:val="nil"/>
              <w:bottom w:val="nil"/>
              <w:right w:val="nil"/>
            </w:tcBorders>
            <w:shd w:val="clear" w:color="auto" w:fill="auto"/>
            <w:noWrap/>
            <w:vAlign w:val="bottom"/>
            <w:hideMark/>
          </w:tcPr>
          <w:p w14:paraId="5D03D433" w14:textId="77777777" w:rsidR="00C9256D" w:rsidRPr="00221EC6" w:rsidRDefault="00C9256D" w:rsidP="00C9256D">
            <w:pPr>
              <w:pStyle w:val="tabletext"/>
            </w:pPr>
            <w:r w:rsidRPr="00221EC6">
              <w:t>13</w:t>
            </w:r>
          </w:p>
        </w:tc>
        <w:tc>
          <w:tcPr>
            <w:tcW w:w="0" w:type="auto"/>
            <w:tcBorders>
              <w:top w:val="single" w:sz="4" w:space="0" w:color="auto"/>
              <w:left w:val="nil"/>
              <w:bottom w:val="nil"/>
              <w:right w:val="nil"/>
            </w:tcBorders>
            <w:shd w:val="clear" w:color="auto" w:fill="auto"/>
            <w:noWrap/>
            <w:vAlign w:val="bottom"/>
            <w:hideMark/>
          </w:tcPr>
          <w:p w14:paraId="76F0A282" w14:textId="77777777" w:rsidR="00C9256D" w:rsidRPr="00221EC6" w:rsidRDefault="00C9256D" w:rsidP="00C9256D">
            <w:pPr>
              <w:pStyle w:val="tabletext"/>
            </w:pPr>
            <w:r w:rsidRPr="00221EC6">
              <w:t>15</w:t>
            </w:r>
          </w:p>
        </w:tc>
        <w:tc>
          <w:tcPr>
            <w:tcW w:w="0" w:type="auto"/>
            <w:tcBorders>
              <w:top w:val="single" w:sz="4" w:space="0" w:color="auto"/>
              <w:left w:val="nil"/>
              <w:bottom w:val="nil"/>
              <w:right w:val="nil"/>
            </w:tcBorders>
            <w:shd w:val="clear" w:color="auto" w:fill="auto"/>
            <w:noWrap/>
            <w:vAlign w:val="bottom"/>
            <w:hideMark/>
          </w:tcPr>
          <w:p w14:paraId="08974A58" w14:textId="77777777" w:rsidR="00C9256D" w:rsidRPr="00221EC6" w:rsidRDefault="00C9256D" w:rsidP="00C9256D">
            <w:pPr>
              <w:pStyle w:val="tabletext"/>
            </w:pPr>
            <w:r w:rsidRPr="00221EC6">
              <w:t>19</w:t>
            </w:r>
          </w:p>
        </w:tc>
      </w:tr>
      <w:tr w:rsidR="00C9256D" w:rsidRPr="00221EC6" w14:paraId="3008392B" w14:textId="77777777" w:rsidTr="00C9256D">
        <w:trPr>
          <w:trHeight w:val="20"/>
        </w:trPr>
        <w:tc>
          <w:tcPr>
            <w:tcW w:w="2410" w:type="dxa"/>
            <w:vMerge/>
            <w:tcBorders>
              <w:left w:val="nil"/>
              <w:bottom w:val="single" w:sz="4" w:space="0" w:color="auto"/>
              <w:right w:val="nil"/>
            </w:tcBorders>
            <w:shd w:val="clear" w:color="auto" w:fill="auto"/>
            <w:noWrap/>
            <w:vAlign w:val="center"/>
            <w:hideMark/>
          </w:tcPr>
          <w:p w14:paraId="71187E4A" w14:textId="77777777" w:rsidR="00C9256D" w:rsidRPr="00221EC6" w:rsidRDefault="00C9256D" w:rsidP="00C9256D">
            <w:pPr>
              <w:pStyle w:val="tabletext"/>
            </w:pPr>
          </w:p>
        </w:tc>
        <w:tc>
          <w:tcPr>
            <w:tcW w:w="0" w:type="auto"/>
            <w:tcBorders>
              <w:top w:val="nil"/>
              <w:left w:val="nil"/>
              <w:bottom w:val="single" w:sz="4" w:space="0" w:color="auto"/>
              <w:right w:val="nil"/>
            </w:tcBorders>
            <w:shd w:val="clear" w:color="auto" w:fill="auto"/>
            <w:noWrap/>
            <w:vAlign w:val="bottom"/>
            <w:hideMark/>
          </w:tcPr>
          <w:p w14:paraId="53B1E2A1" w14:textId="77777777" w:rsidR="00C9256D" w:rsidRPr="00221EC6" w:rsidRDefault="00C9256D" w:rsidP="00C9256D">
            <w:pPr>
              <w:pStyle w:val="tabletext"/>
            </w:pPr>
            <w:r w:rsidRPr="00221EC6">
              <w:t>3</w:t>
            </w:r>
          </w:p>
        </w:tc>
        <w:tc>
          <w:tcPr>
            <w:tcW w:w="0" w:type="auto"/>
            <w:tcBorders>
              <w:top w:val="nil"/>
              <w:left w:val="nil"/>
              <w:bottom w:val="single" w:sz="4" w:space="0" w:color="auto"/>
              <w:right w:val="nil"/>
            </w:tcBorders>
            <w:shd w:val="clear" w:color="auto" w:fill="auto"/>
            <w:noWrap/>
            <w:vAlign w:val="bottom"/>
            <w:hideMark/>
          </w:tcPr>
          <w:p w14:paraId="6A501D2B" w14:textId="77777777" w:rsidR="00C9256D" w:rsidRPr="00221EC6" w:rsidRDefault="00C9256D" w:rsidP="00C9256D">
            <w:pPr>
              <w:pStyle w:val="tabletext"/>
            </w:pPr>
            <w:r w:rsidRPr="00221EC6">
              <w:t>15</w:t>
            </w:r>
          </w:p>
        </w:tc>
        <w:tc>
          <w:tcPr>
            <w:tcW w:w="0" w:type="auto"/>
            <w:tcBorders>
              <w:top w:val="nil"/>
              <w:left w:val="nil"/>
              <w:bottom w:val="single" w:sz="4" w:space="0" w:color="auto"/>
              <w:right w:val="nil"/>
            </w:tcBorders>
            <w:shd w:val="clear" w:color="auto" w:fill="auto"/>
            <w:noWrap/>
            <w:vAlign w:val="bottom"/>
            <w:hideMark/>
          </w:tcPr>
          <w:p w14:paraId="1E7BDCEE" w14:textId="77777777" w:rsidR="00C9256D" w:rsidRPr="00221EC6" w:rsidRDefault="00C9256D" w:rsidP="00C9256D">
            <w:pPr>
              <w:pStyle w:val="tabletext"/>
            </w:pPr>
            <w:r w:rsidRPr="00221EC6">
              <w:t>18</w:t>
            </w:r>
          </w:p>
        </w:tc>
        <w:tc>
          <w:tcPr>
            <w:tcW w:w="0" w:type="auto"/>
            <w:tcBorders>
              <w:top w:val="nil"/>
              <w:left w:val="nil"/>
              <w:bottom w:val="single" w:sz="4" w:space="0" w:color="auto"/>
              <w:right w:val="nil"/>
            </w:tcBorders>
            <w:shd w:val="clear" w:color="auto" w:fill="auto"/>
            <w:noWrap/>
            <w:vAlign w:val="bottom"/>
            <w:hideMark/>
          </w:tcPr>
          <w:p w14:paraId="10D755EE" w14:textId="77777777" w:rsidR="00C9256D" w:rsidRPr="00221EC6" w:rsidRDefault="00C9256D" w:rsidP="00C9256D">
            <w:pPr>
              <w:pStyle w:val="tabletext"/>
            </w:pPr>
            <w:r w:rsidRPr="00221EC6">
              <w:t>17</w:t>
            </w:r>
          </w:p>
        </w:tc>
      </w:tr>
      <w:tr w:rsidR="00C9256D" w:rsidRPr="00221EC6" w14:paraId="7D3661CA" w14:textId="77777777" w:rsidTr="00C9256D">
        <w:trPr>
          <w:trHeight w:val="20"/>
        </w:trPr>
        <w:tc>
          <w:tcPr>
            <w:tcW w:w="2410" w:type="dxa"/>
            <w:vMerge w:val="restart"/>
            <w:tcBorders>
              <w:top w:val="single" w:sz="4" w:space="0" w:color="auto"/>
              <w:left w:val="nil"/>
              <w:right w:val="nil"/>
            </w:tcBorders>
            <w:shd w:val="clear" w:color="auto" w:fill="auto"/>
            <w:noWrap/>
            <w:vAlign w:val="center"/>
            <w:hideMark/>
          </w:tcPr>
          <w:p w14:paraId="4685F8D1" w14:textId="77777777" w:rsidR="00C9256D" w:rsidRPr="00221EC6" w:rsidRDefault="00C9256D" w:rsidP="00C9256D">
            <w:pPr>
              <w:pStyle w:val="tabletext"/>
            </w:pPr>
            <w:r w:rsidRPr="00221EC6">
              <w:t>Seed mass</w:t>
            </w:r>
          </w:p>
        </w:tc>
        <w:tc>
          <w:tcPr>
            <w:tcW w:w="0" w:type="auto"/>
            <w:tcBorders>
              <w:top w:val="single" w:sz="4" w:space="0" w:color="auto"/>
              <w:left w:val="nil"/>
              <w:bottom w:val="nil"/>
              <w:right w:val="nil"/>
            </w:tcBorders>
            <w:shd w:val="clear" w:color="auto" w:fill="auto"/>
            <w:noWrap/>
            <w:vAlign w:val="bottom"/>
            <w:hideMark/>
          </w:tcPr>
          <w:p w14:paraId="1CA74DBC" w14:textId="77777777" w:rsidR="00C9256D" w:rsidRPr="00221EC6" w:rsidRDefault="00C9256D" w:rsidP="00C9256D">
            <w:pPr>
              <w:pStyle w:val="tabletext"/>
            </w:pPr>
            <w:r w:rsidRPr="00221EC6">
              <w:t>2</w:t>
            </w:r>
          </w:p>
        </w:tc>
        <w:tc>
          <w:tcPr>
            <w:tcW w:w="0" w:type="auto"/>
            <w:tcBorders>
              <w:top w:val="single" w:sz="4" w:space="0" w:color="auto"/>
              <w:left w:val="nil"/>
              <w:bottom w:val="nil"/>
              <w:right w:val="nil"/>
            </w:tcBorders>
            <w:shd w:val="clear" w:color="auto" w:fill="auto"/>
            <w:noWrap/>
            <w:vAlign w:val="bottom"/>
            <w:hideMark/>
          </w:tcPr>
          <w:p w14:paraId="595DD6AC" w14:textId="77777777" w:rsidR="00C9256D" w:rsidRPr="00221EC6" w:rsidRDefault="00C9256D" w:rsidP="00C9256D">
            <w:pPr>
              <w:pStyle w:val="tabletext"/>
            </w:pPr>
            <w:r w:rsidRPr="00221EC6">
              <w:t>44</w:t>
            </w:r>
          </w:p>
        </w:tc>
        <w:tc>
          <w:tcPr>
            <w:tcW w:w="0" w:type="auto"/>
            <w:tcBorders>
              <w:top w:val="single" w:sz="4" w:space="0" w:color="auto"/>
              <w:left w:val="nil"/>
              <w:bottom w:val="nil"/>
              <w:right w:val="nil"/>
            </w:tcBorders>
            <w:shd w:val="clear" w:color="auto" w:fill="auto"/>
            <w:noWrap/>
            <w:vAlign w:val="bottom"/>
            <w:hideMark/>
          </w:tcPr>
          <w:p w14:paraId="0001793A" w14:textId="77777777" w:rsidR="00C9256D" w:rsidRPr="00221EC6" w:rsidRDefault="00C9256D" w:rsidP="00C9256D">
            <w:pPr>
              <w:pStyle w:val="tabletext"/>
            </w:pPr>
            <w:r w:rsidRPr="00221EC6">
              <w:t>47</w:t>
            </w:r>
          </w:p>
        </w:tc>
        <w:tc>
          <w:tcPr>
            <w:tcW w:w="0" w:type="auto"/>
            <w:tcBorders>
              <w:top w:val="single" w:sz="4" w:space="0" w:color="auto"/>
              <w:left w:val="nil"/>
              <w:bottom w:val="nil"/>
              <w:right w:val="nil"/>
            </w:tcBorders>
            <w:shd w:val="clear" w:color="auto" w:fill="auto"/>
            <w:noWrap/>
            <w:vAlign w:val="bottom"/>
            <w:hideMark/>
          </w:tcPr>
          <w:p w14:paraId="53945965" w14:textId="77777777" w:rsidR="00C9256D" w:rsidRPr="00221EC6" w:rsidRDefault="00C9256D" w:rsidP="00C9256D">
            <w:pPr>
              <w:pStyle w:val="tabletext"/>
            </w:pPr>
            <w:r w:rsidRPr="00221EC6">
              <w:t>43</w:t>
            </w:r>
          </w:p>
        </w:tc>
      </w:tr>
      <w:tr w:rsidR="00C9256D" w:rsidRPr="00221EC6" w14:paraId="6A84B9BC" w14:textId="77777777" w:rsidTr="00C9256D">
        <w:trPr>
          <w:trHeight w:val="20"/>
        </w:trPr>
        <w:tc>
          <w:tcPr>
            <w:tcW w:w="2410" w:type="dxa"/>
            <w:vMerge/>
            <w:tcBorders>
              <w:left w:val="nil"/>
              <w:bottom w:val="single" w:sz="4" w:space="0" w:color="auto"/>
              <w:right w:val="nil"/>
            </w:tcBorders>
            <w:shd w:val="clear" w:color="auto" w:fill="auto"/>
            <w:noWrap/>
            <w:vAlign w:val="center"/>
            <w:hideMark/>
          </w:tcPr>
          <w:p w14:paraId="2A5271E1" w14:textId="77777777" w:rsidR="00C9256D" w:rsidRPr="00221EC6" w:rsidRDefault="00C9256D" w:rsidP="00C9256D">
            <w:pPr>
              <w:pStyle w:val="tabletext"/>
            </w:pPr>
          </w:p>
        </w:tc>
        <w:tc>
          <w:tcPr>
            <w:tcW w:w="0" w:type="auto"/>
            <w:tcBorders>
              <w:top w:val="nil"/>
              <w:left w:val="nil"/>
              <w:bottom w:val="single" w:sz="4" w:space="0" w:color="auto"/>
              <w:right w:val="nil"/>
            </w:tcBorders>
            <w:shd w:val="clear" w:color="auto" w:fill="auto"/>
            <w:noWrap/>
            <w:vAlign w:val="bottom"/>
            <w:hideMark/>
          </w:tcPr>
          <w:p w14:paraId="37E78301" w14:textId="77777777" w:rsidR="00C9256D" w:rsidRPr="00221EC6" w:rsidRDefault="00C9256D" w:rsidP="00C9256D">
            <w:pPr>
              <w:pStyle w:val="tabletext"/>
            </w:pPr>
            <w:r w:rsidRPr="00221EC6">
              <w:t>3</w:t>
            </w:r>
          </w:p>
        </w:tc>
        <w:tc>
          <w:tcPr>
            <w:tcW w:w="0" w:type="auto"/>
            <w:tcBorders>
              <w:top w:val="nil"/>
              <w:left w:val="nil"/>
              <w:bottom w:val="single" w:sz="4" w:space="0" w:color="auto"/>
              <w:right w:val="nil"/>
            </w:tcBorders>
            <w:shd w:val="clear" w:color="auto" w:fill="auto"/>
            <w:noWrap/>
            <w:vAlign w:val="bottom"/>
            <w:hideMark/>
          </w:tcPr>
          <w:p w14:paraId="47999507" w14:textId="77777777" w:rsidR="00C9256D" w:rsidRPr="00221EC6" w:rsidRDefault="00C9256D" w:rsidP="00C9256D">
            <w:pPr>
              <w:pStyle w:val="tabletext"/>
            </w:pPr>
            <w:r w:rsidRPr="00221EC6">
              <w:t>45</w:t>
            </w:r>
          </w:p>
        </w:tc>
        <w:tc>
          <w:tcPr>
            <w:tcW w:w="0" w:type="auto"/>
            <w:tcBorders>
              <w:top w:val="nil"/>
              <w:left w:val="nil"/>
              <w:bottom w:val="single" w:sz="4" w:space="0" w:color="auto"/>
              <w:right w:val="nil"/>
            </w:tcBorders>
            <w:shd w:val="clear" w:color="auto" w:fill="auto"/>
            <w:noWrap/>
            <w:vAlign w:val="bottom"/>
            <w:hideMark/>
          </w:tcPr>
          <w:p w14:paraId="69F71B50" w14:textId="77777777" w:rsidR="00C9256D" w:rsidRPr="00221EC6" w:rsidRDefault="00C9256D" w:rsidP="00C9256D">
            <w:pPr>
              <w:pStyle w:val="tabletext"/>
            </w:pPr>
            <w:r w:rsidRPr="00221EC6">
              <w:t>45</w:t>
            </w:r>
          </w:p>
        </w:tc>
        <w:tc>
          <w:tcPr>
            <w:tcW w:w="0" w:type="auto"/>
            <w:tcBorders>
              <w:top w:val="nil"/>
              <w:left w:val="nil"/>
              <w:bottom w:val="single" w:sz="4" w:space="0" w:color="auto"/>
              <w:right w:val="nil"/>
            </w:tcBorders>
            <w:shd w:val="clear" w:color="auto" w:fill="auto"/>
            <w:noWrap/>
            <w:vAlign w:val="bottom"/>
            <w:hideMark/>
          </w:tcPr>
          <w:p w14:paraId="47DFA9DF" w14:textId="77777777" w:rsidR="00C9256D" w:rsidRPr="00221EC6" w:rsidRDefault="00C9256D" w:rsidP="00C9256D">
            <w:pPr>
              <w:pStyle w:val="tabletext"/>
            </w:pPr>
            <w:r w:rsidRPr="00221EC6">
              <w:t>43</w:t>
            </w:r>
          </w:p>
        </w:tc>
      </w:tr>
      <w:tr w:rsidR="00C9256D" w:rsidRPr="00221EC6" w14:paraId="284F340E" w14:textId="77777777" w:rsidTr="00C9256D">
        <w:trPr>
          <w:trHeight w:val="20"/>
        </w:trPr>
        <w:tc>
          <w:tcPr>
            <w:tcW w:w="2410" w:type="dxa"/>
            <w:vMerge w:val="restart"/>
            <w:tcBorders>
              <w:top w:val="single" w:sz="4" w:space="0" w:color="auto"/>
              <w:left w:val="nil"/>
              <w:right w:val="nil"/>
            </w:tcBorders>
            <w:shd w:val="clear" w:color="auto" w:fill="auto"/>
            <w:noWrap/>
            <w:vAlign w:val="center"/>
            <w:hideMark/>
          </w:tcPr>
          <w:p w14:paraId="00D64674" w14:textId="77777777" w:rsidR="00C9256D" w:rsidRPr="00221EC6" w:rsidRDefault="00C9256D" w:rsidP="00C9256D">
            <w:pPr>
              <w:pStyle w:val="tabletext"/>
            </w:pPr>
            <w:r w:rsidRPr="00221EC6">
              <w:t>Whole plant height</w:t>
            </w:r>
          </w:p>
        </w:tc>
        <w:tc>
          <w:tcPr>
            <w:tcW w:w="0" w:type="auto"/>
            <w:tcBorders>
              <w:top w:val="single" w:sz="4" w:space="0" w:color="auto"/>
              <w:left w:val="nil"/>
              <w:bottom w:val="nil"/>
              <w:right w:val="nil"/>
            </w:tcBorders>
            <w:shd w:val="clear" w:color="auto" w:fill="auto"/>
            <w:noWrap/>
            <w:vAlign w:val="bottom"/>
            <w:hideMark/>
          </w:tcPr>
          <w:p w14:paraId="37598BDC" w14:textId="77777777" w:rsidR="00C9256D" w:rsidRPr="00221EC6" w:rsidRDefault="00C9256D" w:rsidP="00C9256D">
            <w:pPr>
              <w:pStyle w:val="tabletext"/>
            </w:pPr>
            <w:r w:rsidRPr="00221EC6">
              <w:t>2</w:t>
            </w:r>
          </w:p>
        </w:tc>
        <w:tc>
          <w:tcPr>
            <w:tcW w:w="0" w:type="auto"/>
            <w:tcBorders>
              <w:top w:val="single" w:sz="4" w:space="0" w:color="auto"/>
              <w:left w:val="nil"/>
              <w:bottom w:val="nil"/>
              <w:right w:val="nil"/>
            </w:tcBorders>
            <w:shd w:val="clear" w:color="auto" w:fill="auto"/>
            <w:noWrap/>
            <w:vAlign w:val="bottom"/>
            <w:hideMark/>
          </w:tcPr>
          <w:p w14:paraId="015747DA" w14:textId="77777777" w:rsidR="00C9256D" w:rsidRPr="00221EC6" w:rsidRDefault="00C9256D" w:rsidP="00C9256D">
            <w:pPr>
              <w:pStyle w:val="tabletext"/>
            </w:pPr>
            <w:r w:rsidRPr="00221EC6">
              <w:t>26</w:t>
            </w:r>
          </w:p>
        </w:tc>
        <w:tc>
          <w:tcPr>
            <w:tcW w:w="0" w:type="auto"/>
            <w:tcBorders>
              <w:top w:val="single" w:sz="4" w:space="0" w:color="auto"/>
              <w:left w:val="nil"/>
              <w:bottom w:val="nil"/>
              <w:right w:val="nil"/>
            </w:tcBorders>
            <w:shd w:val="clear" w:color="auto" w:fill="auto"/>
            <w:noWrap/>
            <w:vAlign w:val="bottom"/>
            <w:hideMark/>
          </w:tcPr>
          <w:p w14:paraId="0C6C155E" w14:textId="77777777" w:rsidR="00C9256D" w:rsidRPr="00221EC6" w:rsidRDefault="00C9256D" w:rsidP="00C9256D">
            <w:pPr>
              <w:pStyle w:val="tabletext"/>
            </w:pPr>
            <w:r w:rsidRPr="00221EC6">
              <w:t>25</w:t>
            </w:r>
          </w:p>
        </w:tc>
        <w:tc>
          <w:tcPr>
            <w:tcW w:w="0" w:type="auto"/>
            <w:tcBorders>
              <w:top w:val="single" w:sz="4" w:space="0" w:color="auto"/>
              <w:left w:val="nil"/>
              <w:bottom w:val="nil"/>
              <w:right w:val="nil"/>
            </w:tcBorders>
            <w:shd w:val="clear" w:color="auto" w:fill="auto"/>
            <w:noWrap/>
            <w:vAlign w:val="bottom"/>
            <w:hideMark/>
          </w:tcPr>
          <w:p w14:paraId="297C8035" w14:textId="77777777" w:rsidR="00C9256D" w:rsidRPr="00221EC6" w:rsidRDefault="00C9256D" w:rsidP="00C9256D">
            <w:pPr>
              <w:pStyle w:val="tabletext"/>
            </w:pPr>
            <w:r w:rsidRPr="00221EC6">
              <w:t>30</w:t>
            </w:r>
          </w:p>
        </w:tc>
      </w:tr>
      <w:tr w:rsidR="00C9256D" w:rsidRPr="00384D9A" w14:paraId="73D88C4F" w14:textId="77777777" w:rsidTr="00C9256D">
        <w:trPr>
          <w:trHeight w:val="20"/>
        </w:trPr>
        <w:tc>
          <w:tcPr>
            <w:tcW w:w="2410" w:type="dxa"/>
            <w:vMerge/>
            <w:tcBorders>
              <w:left w:val="nil"/>
              <w:bottom w:val="single" w:sz="4" w:space="0" w:color="auto"/>
              <w:right w:val="nil"/>
            </w:tcBorders>
            <w:shd w:val="clear" w:color="auto" w:fill="auto"/>
            <w:noWrap/>
            <w:vAlign w:val="center"/>
            <w:hideMark/>
          </w:tcPr>
          <w:p w14:paraId="018CC12A" w14:textId="77777777" w:rsidR="00C9256D" w:rsidRPr="00384D9A" w:rsidRDefault="00C9256D" w:rsidP="00C9256D"/>
        </w:tc>
        <w:tc>
          <w:tcPr>
            <w:tcW w:w="0" w:type="auto"/>
            <w:tcBorders>
              <w:top w:val="nil"/>
              <w:left w:val="nil"/>
              <w:bottom w:val="single" w:sz="4" w:space="0" w:color="auto"/>
              <w:right w:val="nil"/>
            </w:tcBorders>
            <w:shd w:val="clear" w:color="auto" w:fill="auto"/>
            <w:noWrap/>
            <w:vAlign w:val="bottom"/>
            <w:hideMark/>
          </w:tcPr>
          <w:p w14:paraId="0FDB0958" w14:textId="77777777" w:rsidR="00C9256D" w:rsidRPr="00384D9A" w:rsidRDefault="00C9256D" w:rsidP="00C9256D">
            <w:pPr>
              <w:pStyle w:val="tabletext"/>
            </w:pPr>
            <w:r w:rsidRPr="00384D9A">
              <w:t>3</w:t>
            </w:r>
          </w:p>
        </w:tc>
        <w:tc>
          <w:tcPr>
            <w:tcW w:w="0" w:type="auto"/>
            <w:tcBorders>
              <w:top w:val="nil"/>
              <w:left w:val="nil"/>
              <w:bottom w:val="single" w:sz="4" w:space="0" w:color="auto"/>
              <w:right w:val="nil"/>
            </w:tcBorders>
            <w:shd w:val="clear" w:color="auto" w:fill="auto"/>
            <w:noWrap/>
            <w:vAlign w:val="bottom"/>
            <w:hideMark/>
          </w:tcPr>
          <w:p w14:paraId="61021CB8" w14:textId="77777777" w:rsidR="00C9256D" w:rsidRPr="00384D9A" w:rsidRDefault="00C9256D" w:rsidP="00C9256D">
            <w:pPr>
              <w:pStyle w:val="tabletext"/>
            </w:pPr>
            <w:r w:rsidRPr="00384D9A">
              <w:t>31</w:t>
            </w:r>
          </w:p>
        </w:tc>
        <w:tc>
          <w:tcPr>
            <w:tcW w:w="0" w:type="auto"/>
            <w:tcBorders>
              <w:top w:val="nil"/>
              <w:left w:val="nil"/>
              <w:bottom w:val="single" w:sz="4" w:space="0" w:color="auto"/>
              <w:right w:val="nil"/>
            </w:tcBorders>
            <w:shd w:val="clear" w:color="auto" w:fill="auto"/>
            <w:noWrap/>
            <w:vAlign w:val="bottom"/>
            <w:hideMark/>
          </w:tcPr>
          <w:p w14:paraId="29149ED4" w14:textId="77777777" w:rsidR="00C9256D" w:rsidRPr="00384D9A" w:rsidRDefault="00C9256D" w:rsidP="00C9256D">
            <w:pPr>
              <w:pStyle w:val="tabletext"/>
            </w:pPr>
            <w:r w:rsidRPr="00384D9A">
              <w:t>29</w:t>
            </w:r>
          </w:p>
        </w:tc>
        <w:tc>
          <w:tcPr>
            <w:tcW w:w="0" w:type="auto"/>
            <w:tcBorders>
              <w:top w:val="nil"/>
              <w:left w:val="nil"/>
              <w:bottom w:val="single" w:sz="4" w:space="0" w:color="auto"/>
              <w:right w:val="nil"/>
            </w:tcBorders>
            <w:shd w:val="clear" w:color="auto" w:fill="auto"/>
            <w:noWrap/>
            <w:vAlign w:val="bottom"/>
            <w:hideMark/>
          </w:tcPr>
          <w:p w14:paraId="171DF8A5" w14:textId="77777777" w:rsidR="00C9256D" w:rsidRPr="00384D9A" w:rsidRDefault="00C9256D" w:rsidP="00C9256D">
            <w:pPr>
              <w:pStyle w:val="tabletext"/>
            </w:pPr>
            <w:r w:rsidRPr="00384D9A">
              <w:t>34</w:t>
            </w:r>
          </w:p>
        </w:tc>
      </w:tr>
    </w:tbl>
    <w:p w14:paraId="558B9FA5" w14:textId="77777777" w:rsidR="00C9256D" w:rsidRDefault="00C9256D" w:rsidP="00C9256D">
      <w:pPr>
        <w:ind w:firstLine="0"/>
      </w:pPr>
    </w:p>
    <w:p w14:paraId="68785AF9" w14:textId="471298B1" w:rsidR="00C9256D" w:rsidRDefault="00C9256D" w:rsidP="00C9256D">
      <w:r w:rsidRPr="00221EC6">
        <w:t xml:space="preserve">Overall, figures show a trend towards negative </w:t>
      </w:r>
      <w:r>
        <w:t>disparity,</w:t>
      </w:r>
      <w:r w:rsidRPr="00221EC6">
        <w:t xml:space="preserve"> consistent with the phylogenetic analyses (dominants less dispersed than non-dominants</w:t>
      </w:r>
      <w:r>
        <w:t xml:space="preserve">; dominants often </w:t>
      </w:r>
      <w:proofErr w:type="spellStart"/>
      <w:r>
        <w:t>underdispersed</w:t>
      </w:r>
      <w:proofErr w:type="spellEnd"/>
      <w:r>
        <w:t xml:space="preserve"> and non-dominants often </w:t>
      </w:r>
      <w:proofErr w:type="spellStart"/>
      <w:r>
        <w:t>overdispersed</w:t>
      </w:r>
      <w:proofErr w:type="spellEnd"/>
      <w:r>
        <w:t xml:space="preserve">, </w:t>
      </w:r>
      <w:r>
        <w:fldChar w:fldCharType="begin"/>
      </w:r>
      <w:r>
        <w:instrText xml:space="preserve"> REF _Ref59376192 \h </w:instrText>
      </w:r>
      <w:r>
        <w:fldChar w:fldCharType="separate"/>
      </w:r>
      <w:r w:rsidRPr="00FE4D99">
        <w:t xml:space="preserve">Figure </w:t>
      </w:r>
      <w:r>
        <w:t>SI</w:t>
      </w:r>
      <w:r>
        <w:rPr>
          <w:noProof/>
        </w:rPr>
        <w:t>3</w:t>
      </w:r>
      <w:r>
        <w:fldChar w:fldCharType="end"/>
      </w:r>
      <w:r w:rsidRPr="00221EC6">
        <w:t xml:space="preserve">). </w:t>
      </w:r>
      <w:r>
        <w:t xml:space="preserve">Taken together, the four traits considered </w:t>
      </w:r>
      <w:r w:rsidRPr="00DE690F">
        <w:t>capture leaf investment strategies (i.e., leaf nitrogen content per leaf dry mass</w:t>
      </w:r>
      <w:r>
        <w:t xml:space="preserve"> and l</w:t>
      </w:r>
      <w:r w:rsidRPr="001930D4">
        <w:t>eaf dry mass per leaf fresh mass</w:t>
      </w:r>
      <w:r w:rsidRPr="00DE690F">
        <w:t xml:space="preserve">), growth form (max plant height) and recruitment strategies (seed mass) that are likely to influence </w:t>
      </w:r>
      <w:r>
        <w:t xml:space="preserve">different competitive strategies </w:t>
      </w:r>
      <w:r>
        <w:fldChar w:fldCharType="begin"/>
      </w:r>
      <w:r w:rsidR="00934C7A">
        <w:instrText xml:space="preserve"> ADDIN ZOTERO_ITEM CSL_CITATION {"citationID":"3tjx9SVT","properties":{"formattedCitation":"(Denelle {\\i{}et al.}, 2020; D\\uc0\\u237{}az {\\i{}et al.}, 2016)","plainCitation":"(Denelle et al., 2020; Díaz et al., 2016)","noteIndex":0},"citationItems":[{"id":12658,"uris":["http://zotero.org/users/172357/items/L5GVM23Z"],"uri":["http://zotero.org/users/172357/items/L5GVM23Z"],"itemData":{"id":12658,"type":"article-journal","abstract":"Aim: Ecological specialization is defined by the variety of environments species occupy. Identifying the mechanisms that influence specialization is critical to understand patterns of species coexistence and biodiversity. However, the functional attributes that result in specialization are still unknown. Similarly, there is contrasting evidence between the degree of specialization and the local abundance of species. We investigated whether specialist and generalist plant species (a) are associated with distinct functional profiles, using core plant functional traits and strategies, (b) show similar functional variation and (c) perform at the local scale.","container-title":"Journal of Biogeography","DOI":"10.1111/jbi.13848","ISSN":"0305-0270, 1365-2699","issue":"9","language":"en","page":"1922-1933","source":"Crossref","title":"Generalist plants are more competitive and more functionally similar to each other than specialist plants: insights from network analyses","title-short":"Generalist plants are more competitive and more functionally similar to each other than specialist plants","volume":"47","author":[{"family":"Denelle","given":"Pierre"},{"family":"Violle","given":"Cyrille"},{"literal":"DivGrass Consortium"},{"family":"Munoz","given":"François"}],"issued":{"date-parts":[["2020",9]]}}},{"id":12660,"uris":["http://zotero.org/users/172357/items/HRVIM62H"],"uri":["http://zotero.org/users/172357/items/HRVIM62H"],"itemData":{"id":12660,"type":"article-journal","container-title":"Nature","DOI":"10.1038/nature16489","ISSN":"0028-0836, 1476-4687","issue":"7585","language":"en","page":"167-171","source":"Crossref","title":"The global spectrum of plant form and function","volume":"529","author":[{"family":"Díaz","given":"Sandra"},{"family":"Kattge","given":"Jens"},{"family":"Cornelissen","given":"Johannes H. C."},{"family":"Wright","given":"Ian J."},{"family":"Lavorel","given":"Sandra"},{"family":"Dray","given":"Stéphane"},{"family":"Reu","given":"Björn"},{"family":"Kleyer","given":"Michael"},{"family":"Wirth","given":"Christian"},{"family":"Colin Prentice","given":"I."},{"family":"Garnier","given":"Eric"},{"family":"Bönisch","given":"Gerhard"},{"family":"Westoby","given":"Mark"},{"family":"Poorter","given":"Hendrik"},{"family":"Reich","given":"Peter B."},{"family":"Moles","given":"Angela T."},{"family":"Dickie","given":"John"},{"family":"Gillison","given":"Andrew N."},{"family":"Zanne","given":"Amy E."},{"family":"Chave","given":"Jérôme"},{"family":"Joseph Wright","given":"S."},{"family":"Sheremet’ev","given":"Serge N."},{"family":"Jactel","given":"Hervé"},{"family":"Baraloto","given":"Christopher"},{"family":"Cerabolini","given":"Bruno"},{"family":"Pierce","given":"Simon"},{"family":"Shipley","given":"Bill"},{"family":"Kirkup","given":"Donald"},{"family":"Casanoves","given":"Fernando"},{"family":"Joswig","given":"Julia S."},{"family":"Günther","given":"Angela"},{"family":"Falczuk","given":"Valeria"},{"family":"Rüger","given":"Nadja"},{"family":"Mahecha","given":"Miguel D."},{"family":"Gorné","given":"Lucas D."}],"issued":{"date-parts":[["2016",1,14]]}}}],"schema":"https://github.com/citation-style-language/schema/raw/master/csl-citation.json"} </w:instrText>
      </w:r>
      <w:r>
        <w:fldChar w:fldCharType="separate"/>
      </w:r>
      <w:r w:rsidR="00934C7A" w:rsidRPr="00934C7A">
        <w:rPr>
          <w:rFonts w:cs="Times New Roman"/>
        </w:rPr>
        <w:t xml:space="preserve">(Denelle </w:t>
      </w:r>
      <w:r w:rsidR="00934C7A" w:rsidRPr="00934C7A">
        <w:rPr>
          <w:rFonts w:cs="Times New Roman"/>
          <w:i/>
          <w:iCs/>
        </w:rPr>
        <w:t>et al.</w:t>
      </w:r>
      <w:r w:rsidR="00934C7A" w:rsidRPr="00934C7A">
        <w:rPr>
          <w:rFonts w:cs="Times New Roman"/>
        </w:rPr>
        <w:t xml:space="preserve">, 2020; Díaz </w:t>
      </w:r>
      <w:r w:rsidR="00934C7A" w:rsidRPr="00934C7A">
        <w:rPr>
          <w:rFonts w:cs="Times New Roman"/>
          <w:i/>
          <w:iCs/>
        </w:rPr>
        <w:t>et al.</w:t>
      </w:r>
      <w:r w:rsidR="00934C7A" w:rsidRPr="00934C7A">
        <w:rPr>
          <w:rFonts w:cs="Times New Roman"/>
        </w:rPr>
        <w:t>, 2016)</w:t>
      </w:r>
      <w:r>
        <w:fldChar w:fldCharType="end"/>
      </w:r>
      <w:r w:rsidRPr="00CC2DA7">
        <w:t xml:space="preserve">. </w:t>
      </w:r>
      <w:r>
        <w:t>However, compared with the phylogenetic analyses, t</w:t>
      </w:r>
      <w:r w:rsidRPr="00221EC6">
        <w:t xml:space="preserve">he </w:t>
      </w:r>
      <w:r>
        <w:t xml:space="preserve">observed </w:t>
      </w:r>
      <w:r w:rsidRPr="00221EC6">
        <w:t>trend is not as strong</w:t>
      </w:r>
      <w:r>
        <w:t xml:space="preserve">. We hypothesize that the difference between both approaches may be caused by </w:t>
      </w:r>
      <w:r w:rsidRPr="00221EC6">
        <w:t>fewer sites hav</w:t>
      </w:r>
      <w:r>
        <w:t>ing</w:t>
      </w:r>
      <w:r w:rsidRPr="00221EC6">
        <w:t xml:space="preserve"> enough information to estimate the </w:t>
      </w:r>
      <w:r>
        <w:t xml:space="preserve">trait </w:t>
      </w:r>
      <w:r w:rsidRPr="00221EC6">
        <w:t>dispersal in each partition</w:t>
      </w:r>
      <w:r>
        <w:t xml:space="preserve"> (45 or less sites compared to 78 for the phylogenetic analysis)</w:t>
      </w:r>
      <w:r w:rsidRPr="00221EC6">
        <w:t xml:space="preserve">, and because each </w:t>
      </w:r>
      <w:r>
        <w:t xml:space="preserve">trait </w:t>
      </w:r>
      <w:r w:rsidRPr="00221EC6">
        <w:t xml:space="preserve">estimate was noisier because several species </w:t>
      </w:r>
      <w:r>
        <w:t xml:space="preserve">trait values </w:t>
      </w:r>
      <w:r w:rsidRPr="00221EC6">
        <w:t>were absent from each site.</w:t>
      </w:r>
      <w:r>
        <w:t xml:space="preserve"> Further, as discussed in detail in the manuscript, phylogenetic signal is likely to capture a broader pattern of differences among species.</w:t>
      </w:r>
    </w:p>
    <w:p w14:paraId="359C1FA4" w14:textId="77777777" w:rsidR="00C53079" w:rsidRPr="00221EC6" w:rsidRDefault="00C53079" w:rsidP="00C9256D"/>
    <w:p w14:paraId="7B0181C7" w14:textId="77777777" w:rsidR="00C9256D" w:rsidRDefault="00C9256D" w:rsidP="00C9256D">
      <w:pPr>
        <w:ind w:firstLine="0"/>
        <w:sectPr w:rsidR="00C9256D" w:rsidSect="00DE418C">
          <w:pgSz w:w="12240" w:h="15840"/>
          <w:pgMar w:top="1440" w:right="1440" w:bottom="1440" w:left="1440" w:header="708" w:footer="708" w:gutter="0"/>
          <w:cols w:space="708"/>
          <w:docGrid w:linePitch="360"/>
        </w:sectPr>
      </w:pPr>
    </w:p>
    <w:p w14:paraId="03DCB8F1" w14:textId="427C31F5" w:rsidR="00C9256D" w:rsidRDefault="00C9256D" w:rsidP="00C9256D">
      <w:pPr>
        <w:pStyle w:val="Caption"/>
        <w:spacing w:line="240" w:lineRule="auto"/>
      </w:pPr>
      <w:bookmarkStart w:id="9" w:name="_Ref59376192"/>
      <w:r w:rsidRPr="00FE4D99">
        <w:t xml:space="preserve">Figure </w:t>
      </w:r>
      <w:r>
        <w:t>SI</w:t>
      </w:r>
      <w:r w:rsidRPr="00FE4D99">
        <w:fldChar w:fldCharType="begin"/>
      </w:r>
      <w:r w:rsidRPr="00FE4D99">
        <w:instrText xml:space="preserve"> SEQ Figure</w:instrText>
      </w:r>
      <w:r>
        <w:instrText xml:space="preserve">_SI </w:instrText>
      </w:r>
      <w:r w:rsidRPr="00FE4D99">
        <w:instrText xml:space="preserve">\* ARABIC </w:instrText>
      </w:r>
      <w:r w:rsidRPr="00FE4D99">
        <w:fldChar w:fldCharType="separate"/>
      </w:r>
      <w:r>
        <w:rPr>
          <w:noProof/>
        </w:rPr>
        <w:t>3</w:t>
      </w:r>
      <w:r w:rsidRPr="00FE4D99">
        <w:fldChar w:fldCharType="end"/>
      </w:r>
      <w:bookmarkEnd w:id="9"/>
      <w:r w:rsidRPr="00FE4D99">
        <w:t xml:space="preserve">: Global and local tests of </w:t>
      </w:r>
      <w:r>
        <w:t>trait</w:t>
      </w:r>
      <w:r w:rsidRPr="00FE4D99">
        <w:t xml:space="preserve"> </w:t>
      </w:r>
      <w:r>
        <w:t>disparity</w:t>
      </w:r>
      <w:r w:rsidRPr="00FE4D99">
        <w:t xml:space="preserve"> between dominants and non-dominant plants, and the </w:t>
      </w:r>
      <w:r>
        <w:t>trait dissimilarity</w:t>
      </w:r>
      <w:r w:rsidRPr="00FE4D99">
        <w:t xml:space="preserve"> of these partitions</w:t>
      </w:r>
      <w:r>
        <w:t>. The analysis was repeated for four traits: seed mass (a), whole plant height (b), leaf dry mass per leaf fresh mass (c) and leaf nitrogen content per leaf dry mass (d)</w:t>
      </w:r>
      <w:r w:rsidRPr="00FE4D99">
        <w:t xml:space="preserve">. Each row represents a </w:t>
      </w:r>
      <w:r>
        <w:t>trait dissimilarity</w:t>
      </w:r>
      <w:r w:rsidRPr="00FE4D99">
        <w:t xml:space="preserve"> </w:t>
      </w:r>
      <w:r>
        <w:t>test</w:t>
      </w:r>
      <w:r w:rsidRPr="00FE4D99">
        <w:t xml:space="preserve"> </w:t>
      </w:r>
      <w:r>
        <w:t xml:space="preserve">(disparity= (dominant SES) – (non-dominant SES), dominant SES, non-dominant SES) </w:t>
      </w:r>
      <w:r w:rsidRPr="00FE4D99">
        <w:t xml:space="preserve">and the columns represent different ways to measure the dominance of the species. We partitioned the community into two (clear) and three (grey) partitions (each partition with a similar number of species) and plotted the density of sites with the respective </w:t>
      </w:r>
      <w:r>
        <w:t>dissimilarity value</w:t>
      </w:r>
      <w:r w:rsidRPr="00FE4D99">
        <w:t xml:space="preserve">. The </w:t>
      </w:r>
      <w:r>
        <w:t>dissimilarity</w:t>
      </w:r>
      <w:r w:rsidRPr="00FE4D99">
        <w:t xml:space="preserve"> in each site and partition is the standardized effect size of the mean </w:t>
      </w:r>
      <w:r>
        <w:t>trait</w:t>
      </w:r>
      <w:r w:rsidRPr="00FE4D99">
        <w:t xml:space="preserve"> distance. For the local tests, </w:t>
      </w:r>
      <w:r>
        <w:t>v</w:t>
      </w:r>
      <w:r w:rsidRPr="00FE4D99">
        <w:t xml:space="preserve">ertical dotted lines represent the limit for an independent site to be considered equal to zero. Therefore, the areas beyond the dotted lines indicate the proportion of sites with enough evidence by themselves of a non-random assortment. For the global test, triangles represent the mean value for each partition, vertical dashed lines represent zero (which indicates random assortment) and the </w:t>
      </w:r>
      <w:r>
        <w:t>expression</w:t>
      </w:r>
      <w:r w:rsidRPr="00FE4D99">
        <w:t xml:space="preserve"> in the top-left corner indicate if the global dispersion was different from zero or not. For that test, the distribution for the three partitions was tested for normality first. When non-normal, we tested whether the mean (</w:t>
      </w:r>
      <m:oMath>
        <m:acc>
          <m:accPr>
            <m:chr m:val="̅"/>
            <m:ctrlPr>
              <w:rPr>
                <w:rFonts w:ascii="Cambria Math" w:hAnsi="Cambria Math"/>
              </w:rPr>
            </m:ctrlPr>
          </m:accPr>
          <m:e>
            <m:r>
              <m:rPr>
                <m:sty m:val="bi"/>
              </m:rPr>
              <w:rPr>
                <w:rFonts w:ascii="Cambria Math" w:hAnsi="Cambria Math"/>
              </w:rPr>
              <m:t>x</m:t>
            </m:r>
          </m:e>
        </m:acc>
      </m:oMath>
      <w:r w:rsidRPr="00FE4D99">
        <w:t>) was lower or higher than 0. If normal, we also tested if the variance (s</w:t>
      </w:r>
      <w:r w:rsidRPr="00FE4D99">
        <w:rPr>
          <w:vertAlign w:val="superscript"/>
        </w:rPr>
        <w:t>2</w:t>
      </w:r>
      <w:r w:rsidRPr="00FE4D99">
        <w:t xml:space="preserve">) was lower or higher than the expected variance (2 for </w:t>
      </w:r>
      <w:r>
        <w:t>disparity</w:t>
      </w:r>
      <w:r w:rsidRPr="00FE4D99">
        <w:t>, 1 for relatedness). All tests were done at p &lt; 0.05.</w:t>
      </w:r>
    </w:p>
    <w:p w14:paraId="45AF9C97" w14:textId="77777777" w:rsidR="00C9256D" w:rsidRPr="004436D8" w:rsidRDefault="00C9256D" w:rsidP="00C9256D">
      <w:pPr>
        <w:rPr>
          <w:lang w:val="en-GB" w:eastAsia="zh-C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97"/>
        <w:gridCol w:w="7703"/>
      </w:tblGrid>
      <w:tr w:rsidR="00C9256D" w14:paraId="6FF1FF26" w14:textId="77777777" w:rsidTr="00F27C7C">
        <w:tc>
          <w:tcPr>
            <w:tcW w:w="4675" w:type="dxa"/>
          </w:tcPr>
          <w:p w14:paraId="7D1718AE" w14:textId="77777777" w:rsidR="00C9256D" w:rsidRDefault="00C9256D" w:rsidP="00C9256D">
            <w:pPr>
              <w:pStyle w:val="tabletext"/>
              <w:numPr>
                <w:ilvl w:val="0"/>
                <w:numId w:val="2"/>
              </w:numPr>
              <w:spacing w:before="60" w:after="60"/>
              <w:jc w:val="left"/>
            </w:pPr>
            <w:r>
              <w:t>Seed mass</w:t>
            </w:r>
          </w:p>
        </w:tc>
        <w:tc>
          <w:tcPr>
            <w:tcW w:w="4675" w:type="dxa"/>
          </w:tcPr>
          <w:p w14:paraId="7A1AC484" w14:textId="77777777" w:rsidR="00C9256D" w:rsidRDefault="00C9256D" w:rsidP="00C9256D">
            <w:pPr>
              <w:pStyle w:val="tabletext"/>
              <w:numPr>
                <w:ilvl w:val="0"/>
                <w:numId w:val="2"/>
              </w:numPr>
              <w:spacing w:before="60" w:after="60"/>
              <w:jc w:val="left"/>
            </w:pPr>
            <w:r w:rsidRPr="001930D4">
              <w:t>Whole plant height</w:t>
            </w:r>
          </w:p>
        </w:tc>
      </w:tr>
      <w:tr w:rsidR="00C9256D" w14:paraId="3A143A41" w14:textId="77777777" w:rsidTr="00F27C7C">
        <w:tc>
          <w:tcPr>
            <w:tcW w:w="4675" w:type="dxa"/>
          </w:tcPr>
          <w:p w14:paraId="31D6571B" w14:textId="77777777" w:rsidR="00C9256D" w:rsidRDefault="00C9256D" w:rsidP="00C9256D">
            <w:pPr>
              <w:pStyle w:val="tabletext"/>
              <w:keepNext w:val="0"/>
            </w:pPr>
            <w:r>
              <w:rPr>
                <w:noProof/>
              </w:rPr>
              <w:drawing>
                <wp:inline distT="0" distB="0" distL="0" distR="0" wp14:anchorId="52F3BEC0" wp14:editId="6BE9A536">
                  <wp:extent cx="4175760" cy="3103880"/>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rotWithShape="1">
                          <a:blip r:embed="rId10"/>
                          <a:srcRect l="-68" r="13583"/>
                          <a:stretch/>
                        </pic:blipFill>
                        <pic:spPr bwMode="auto">
                          <a:xfrm>
                            <a:off x="0" y="0"/>
                            <a:ext cx="4175876" cy="3103966"/>
                          </a:xfrm>
                          <a:prstGeom prst="rect">
                            <a:avLst/>
                          </a:prstGeom>
                          <a:ln>
                            <a:noFill/>
                          </a:ln>
                          <a:extLst>
                            <a:ext uri="{53640926-AAD7-44D8-BBD7-CCE9431645EC}">
                              <a14:shadowObscured xmlns:a14="http://schemas.microsoft.com/office/drawing/2010/main"/>
                            </a:ext>
                          </a:extLst>
                        </pic:spPr>
                      </pic:pic>
                    </a:graphicData>
                  </a:graphic>
                </wp:inline>
              </w:drawing>
            </w:r>
          </w:p>
        </w:tc>
        <w:tc>
          <w:tcPr>
            <w:tcW w:w="4675" w:type="dxa"/>
          </w:tcPr>
          <w:p w14:paraId="06D87BDB" w14:textId="77777777" w:rsidR="00C9256D" w:rsidRDefault="00C9256D" w:rsidP="00C9256D">
            <w:pPr>
              <w:pStyle w:val="tabletext"/>
              <w:keepNext w:val="0"/>
            </w:pPr>
            <w:r>
              <w:rPr>
                <w:noProof/>
              </w:rPr>
              <w:drawing>
                <wp:inline distT="0" distB="0" distL="0" distR="0" wp14:anchorId="7D74042C" wp14:editId="66D0FA0D">
                  <wp:extent cx="4827200" cy="31032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1"/>
                          <a:stretch>
                            <a:fillRect/>
                          </a:stretch>
                        </pic:blipFill>
                        <pic:spPr bwMode="auto">
                          <a:xfrm>
                            <a:off x="0" y="0"/>
                            <a:ext cx="4827200" cy="3103200"/>
                          </a:xfrm>
                          <a:prstGeom prst="rect">
                            <a:avLst/>
                          </a:prstGeom>
                          <a:ln>
                            <a:noFill/>
                          </a:ln>
                          <a:extLst>
                            <a:ext uri="{53640926-AAD7-44D8-BBD7-CCE9431645EC}">
                              <a14:shadowObscured xmlns:a14="http://schemas.microsoft.com/office/drawing/2010/main"/>
                            </a:ext>
                          </a:extLst>
                        </pic:spPr>
                      </pic:pic>
                    </a:graphicData>
                  </a:graphic>
                </wp:inline>
              </w:drawing>
            </w:r>
          </w:p>
        </w:tc>
      </w:tr>
      <w:tr w:rsidR="00C9256D" w14:paraId="2262489C" w14:textId="77777777" w:rsidTr="00F27C7C">
        <w:tc>
          <w:tcPr>
            <w:tcW w:w="4675" w:type="dxa"/>
          </w:tcPr>
          <w:p w14:paraId="350BA435" w14:textId="77777777" w:rsidR="00C9256D" w:rsidRDefault="00C9256D" w:rsidP="00C9256D">
            <w:pPr>
              <w:pStyle w:val="tabletext"/>
              <w:numPr>
                <w:ilvl w:val="0"/>
                <w:numId w:val="2"/>
              </w:numPr>
              <w:spacing w:before="60" w:after="60"/>
              <w:jc w:val="left"/>
            </w:pPr>
            <w:r w:rsidRPr="001930D4">
              <w:t>Leaf dry mass per leaf fresh mass</w:t>
            </w:r>
          </w:p>
        </w:tc>
        <w:tc>
          <w:tcPr>
            <w:tcW w:w="4675" w:type="dxa"/>
          </w:tcPr>
          <w:p w14:paraId="1AA761DE" w14:textId="77777777" w:rsidR="00C9256D" w:rsidRDefault="00C9256D" w:rsidP="00C9256D">
            <w:pPr>
              <w:pStyle w:val="tabletext"/>
              <w:numPr>
                <w:ilvl w:val="0"/>
                <w:numId w:val="2"/>
              </w:numPr>
              <w:spacing w:before="60" w:after="60"/>
              <w:jc w:val="left"/>
            </w:pPr>
            <w:r w:rsidRPr="001930D4">
              <w:t>Leaf nitrogen content per leaf dry mass</w:t>
            </w:r>
          </w:p>
        </w:tc>
      </w:tr>
      <w:tr w:rsidR="00C9256D" w14:paraId="5E7AB9F1" w14:textId="77777777" w:rsidTr="00F27C7C">
        <w:tc>
          <w:tcPr>
            <w:tcW w:w="4675" w:type="dxa"/>
          </w:tcPr>
          <w:p w14:paraId="2F883CAC" w14:textId="77777777" w:rsidR="00C9256D" w:rsidRDefault="00C9256D" w:rsidP="00C9256D">
            <w:pPr>
              <w:pStyle w:val="tabletext"/>
            </w:pPr>
            <w:r>
              <w:rPr>
                <w:noProof/>
              </w:rPr>
              <w:drawing>
                <wp:inline distT="0" distB="0" distL="0" distR="0" wp14:anchorId="7A15BE7A" wp14:editId="2F3954E5">
                  <wp:extent cx="4168140" cy="310324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rotWithShape="1">
                          <a:blip r:embed="rId12"/>
                          <a:srcRect l="-120" r="13776"/>
                          <a:stretch/>
                        </pic:blipFill>
                        <pic:spPr bwMode="auto">
                          <a:xfrm>
                            <a:off x="0" y="0"/>
                            <a:ext cx="4168554" cy="3103553"/>
                          </a:xfrm>
                          <a:prstGeom prst="rect">
                            <a:avLst/>
                          </a:prstGeom>
                          <a:ln>
                            <a:noFill/>
                          </a:ln>
                          <a:extLst>
                            <a:ext uri="{53640926-AAD7-44D8-BBD7-CCE9431645EC}">
                              <a14:shadowObscured xmlns:a14="http://schemas.microsoft.com/office/drawing/2010/main"/>
                            </a:ext>
                          </a:extLst>
                        </pic:spPr>
                      </pic:pic>
                    </a:graphicData>
                  </a:graphic>
                </wp:inline>
              </w:drawing>
            </w:r>
          </w:p>
        </w:tc>
        <w:tc>
          <w:tcPr>
            <w:tcW w:w="4675" w:type="dxa"/>
          </w:tcPr>
          <w:p w14:paraId="188C6E93" w14:textId="77777777" w:rsidR="00C9256D" w:rsidRDefault="00C9256D" w:rsidP="00C9256D">
            <w:pPr>
              <w:pStyle w:val="tabletext"/>
            </w:pPr>
            <w:r>
              <w:rPr>
                <w:noProof/>
              </w:rPr>
              <w:drawing>
                <wp:inline distT="0" distB="0" distL="0" distR="0" wp14:anchorId="457A915C" wp14:editId="0A274ACB">
                  <wp:extent cx="4827200" cy="3103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3"/>
                          <a:stretch>
                            <a:fillRect/>
                          </a:stretch>
                        </pic:blipFill>
                        <pic:spPr>
                          <a:xfrm>
                            <a:off x="0" y="0"/>
                            <a:ext cx="4827200" cy="3103200"/>
                          </a:xfrm>
                          <a:prstGeom prst="rect">
                            <a:avLst/>
                          </a:prstGeom>
                        </pic:spPr>
                      </pic:pic>
                    </a:graphicData>
                  </a:graphic>
                </wp:inline>
              </w:drawing>
            </w:r>
          </w:p>
        </w:tc>
      </w:tr>
    </w:tbl>
    <w:p w14:paraId="253C49C3" w14:textId="77777777" w:rsidR="00C9256D" w:rsidRDefault="00C9256D" w:rsidP="00C9256D">
      <w:pPr>
        <w:pStyle w:val="tabletext"/>
      </w:pPr>
    </w:p>
    <w:p w14:paraId="14E6974F" w14:textId="77777777" w:rsidR="00C9256D" w:rsidRDefault="00C9256D" w:rsidP="00C9256D">
      <w:pPr>
        <w:pStyle w:val="tabletext"/>
      </w:pPr>
    </w:p>
    <w:p w14:paraId="6D476087" w14:textId="77777777" w:rsidR="00C9256D" w:rsidRDefault="00C9256D" w:rsidP="00C9256D">
      <w:pPr>
        <w:pStyle w:val="tabletext"/>
        <w:sectPr w:rsidR="00C9256D" w:rsidSect="00DE418C">
          <w:pgSz w:w="15840" w:h="12240" w:orient="landscape"/>
          <w:pgMar w:top="720" w:right="720" w:bottom="720" w:left="720" w:header="708" w:footer="708" w:gutter="0"/>
          <w:cols w:space="708"/>
          <w:docGrid w:linePitch="360"/>
        </w:sectPr>
      </w:pPr>
    </w:p>
    <w:p w14:paraId="664F0909" w14:textId="77777777" w:rsidR="00C9256D" w:rsidRPr="00477FD9" w:rsidRDefault="00C9256D" w:rsidP="00C9256D">
      <w:pPr>
        <w:pStyle w:val="tabletext"/>
      </w:pPr>
    </w:p>
    <w:p w14:paraId="011A90FD" w14:textId="77777777" w:rsidR="00C9256D" w:rsidRDefault="00C9256D" w:rsidP="00C9256D">
      <w:pPr>
        <w:suppressAutoHyphens w:val="0"/>
        <w:spacing w:after="240" w:line="240" w:lineRule="auto"/>
      </w:pPr>
    </w:p>
    <w:p w14:paraId="7338F0E8" w14:textId="3867E29D" w:rsidR="00C9256D" w:rsidRDefault="00C9256D" w:rsidP="00C9256D">
      <w:pPr>
        <w:pStyle w:val="Heading1"/>
      </w:pPr>
      <w:r>
        <w:t>References</w:t>
      </w:r>
    </w:p>
    <w:p w14:paraId="1C15EB08" w14:textId="77777777" w:rsidR="00934C7A" w:rsidRPr="00934C7A" w:rsidRDefault="00C9256D" w:rsidP="00934C7A">
      <w:pPr>
        <w:pStyle w:val="Bibliography"/>
        <w:rPr>
          <w:rFonts w:cs="Times New Roman"/>
        </w:rPr>
      </w:pPr>
      <w:r>
        <w:fldChar w:fldCharType="begin"/>
      </w:r>
      <w:r w:rsidR="00934C7A">
        <w:instrText xml:space="preserve"> ADDIN ZOTERO_BIBL {"uncited":[],"omitted":[],"custom":[]} CSL_BIBLIOGRAPHY </w:instrText>
      </w:r>
      <w:r>
        <w:fldChar w:fldCharType="separate"/>
      </w:r>
      <w:r w:rsidR="00934C7A" w:rsidRPr="00934C7A">
        <w:rPr>
          <w:rFonts w:cs="Times New Roman"/>
        </w:rPr>
        <w:t xml:space="preserve">Denelle, P., Violle, C., DivGrass Consortium and Munoz, F. (2020), “Generalist plants are more competitive and more functionally similar to each other than specialist plants: insights from network analyses”, </w:t>
      </w:r>
      <w:r w:rsidR="00934C7A" w:rsidRPr="00934C7A">
        <w:rPr>
          <w:rFonts w:cs="Times New Roman"/>
          <w:i/>
          <w:iCs/>
        </w:rPr>
        <w:t>Journal of Biogeography</w:t>
      </w:r>
      <w:r w:rsidR="00934C7A" w:rsidRPr="00934C7A">
        <w:rPr>
          <w:rFonts w:cs="Times New Roman"/>
        </w:rPr>
        <w:t>, Vol. 47 No. 9, pp. 1922–1933.</w:t>
      </w:r>
    </w:p>
    <w:p w14:paraId="0FE64D41" w14:textId="77777777" w:rsidR="00934C7A" w:rsidRPr="00934C7A" w:rsidRDefault="00934C7A" w:rsidP="00934C7A">
      <w:pPr>
        <w:pStyle w:val="Bibliography"/>
        <w:rPr>
          <w:rFonts w:cs="Times New Roman"/>
        </w:rPr>
      </w:pPr>
      <w:r w:rsidRPr="00934C7A">
        <w:rPr>
          <w:rFonts w:cs="Times New Roman"/>
        </w:rPr>
        <w:t xml:space="preserve">Díaz, S., Kattge, J., Cornelissen, J.H.C., Wright, I.J., Lavorel, S., Dray, S., Reu, B., </w:t>
      </w:r>
      <w:r w:rsidRPr="00934C7A">
        <w:rPr>
          <w:rFonts w:cs="Times New Roman"/>
          <w:i/>
          <w:iCs/>
        </w:rPr>
        <w:t>et al.</w:t>
      </w:r>
      <w:r w:rsidRPr="00934C7A">
        <w:rPr>
          <w:rFonts w:cs="Times New Roman"/>
        </w:rPr>
        <w:t xml:space="preserve"> (2016), “The global spectrum of plant form and function”, </w:t>
      </w:r>
      <w:r w:rsidRPr="00934C7A">
        <w:rPr>
          <w:rFonts w:cs="Times New Roman"/>
          <w:i/>
          <w:iCs/>
        </w:rPr>
        <w:t>Nature</w:t>
      </w:r>
      <w:r w:rsidRPr="00934C7A">
        <w:rPr>
          <w:rFonts w:cs="Times New Roman"/>
        </w:rPr>
        <w:t>, Vol. 529 No. 7585, pp. 167–171.</w:t>
      </w:r>
    </w:p>
    <w:p w14:paraId="112E64B3" w14:textId="77777777" w:rsidR="00934C7A" w:rsidRPr="00934C7A" w:rsidRDefault="00934C7A" w:rsidP="00934C7A">
      <w:pPr>
        <w:pStyle w:val="Bibliography"/>
        <w:rPr>
          <w:rFonts w:cs="Times New Roman"/>
        </w:rPr>
      </w:pPr>
      <w:r w:rsidRPr="00934C7A">
        <w:rPr>
          <w:rFonts w:cs="Times New Roman"/>
        </w:rPr>
        <w:t xml:space="preserve">Gleason, H.A. and Cronquist, A. (1991), </w:t>
      </w:r>
      <w:r w:rsidRPr="00934C7A">
        <w:rPr>
          <w:rFonts w:cs="Times New Roman"/>
          <w:i/>
          <w:iCs/>
        </w:rPr>
        <w:t>Manual of Vascular Plants of Northeastern United States and Adjacent Canada</w:t>
      </w:r>
      <w:r w:rsidRPr="00934C7A">
        <w:rPr>
          <w:rFonts w:cs="Times New Roman"/>
        </w:rPr>
        <w:t>, Vol. 834, New York Botanical Garden Bronx, NY.</w:t>
      </w:r>
    </w:p>
    <w:p w14:paraId="3BD9CF57" w14:textId="77777777" w:rsidR="00934C7A" w:rsidRPr="00934C7A" w:rsidRDefault="00934C7A" w:rsidP="00934C7A">
      <w:pPr>
        <w:pStyle w:val="Bibliography"/>
        <w:rPr>
          <w:rFonts w:cs="Times New Roman"/>
        </w:rPr>
      </w:pPr>
      <w:r w:rsidRPr="00934C7A">
        <w:rPr>
          <w:rFonts w:cs="Times New Roman"/>
        </w:rPr>
        <w:t xml:space="preserve">Kattge, J., Bönisch, G., Díaz, S., Lavorel, S., Prentice, I.C., Leadley, P., Tautenhahn, S., </w:t>
      </w:r>
      <w:r w:rsidRPr="00934C7A">
        <w:rPr>
          <w:rFonts w:cs="Times New Roman"/>
          <w:i/>
          <w:iCs/>
        </w:rPr>
        <w:t>et al.</w:t>
      </w:r>
      <w:r w:rsidRPr="00934C7A">
        <w:rPr>
          <w:rFonts w:cs="Times New Roman"/>
        </w:rPr>
        <w:t xml:space="preserve"> (2020), “TRY plant trait database – enhanced coverage and open access”, </w:t>
      </w:r>
      <w:r w:rsidRPr="00934C7A">
        <w:rPr>
          <w:rFonts w:cs="Times New Roman"/>
          <w:i/>
          <w:iCs/>
        </w:rPr>
        <w:t>Global Change Biology</w:t>
      </w:r>
      <w:r w:rsidRPr="00934C7A">
        <w:rPr>
          <w:rFonts w:cs="Times New Roman"/>
        </w:rPr>
        <w:t>, Vol. 26 No. 1, pp. 119–188.</w:t>
      </w:r>
    </w:p>
    <w:p w14:paraId="2DF40BCE" w14:textId="77777777" w:rsidR="00934C7A" w:rsidRPr="00934C7A" w:rsidRDefault="00934C7A" w:rsidP="00934C7A">
      <w:pPr>
        <w:pStyle w:val="Bibliography"/>
        <w:rPr>
          <w:rFonts w:cs="Times New Roman"/>
        </w:rPr>
      </w:pPr>
      <w:r w:rsidRPr="00934C7A">
        <w:rPr>
          <w:rFonts w:cs="Times New Roman"/>
        </w:rPr>
        <w:t xml:space="preserve">Maitner, B.S., Boyle, B., Casler, N., Condit, R., Donoghue, J., Durán, S.M., Guaderrama, D., </w:t>
      </w:r>
      <w:r w:rsidRPr="00934C7A">
        <w:rPr>
          <w:rFonts w:cs="Times New Roman"/>
          <w:i/>
          <w:iCs/>
        </w:rPr>
        <w:t>et al.</w:t>
      </w:r>
      <w:r w:rsidRPr="00934C7A">
        <w:rPr>
          <w:rFonts w:cs="Times New Roman"/>
        </w:rPr>
        <w:t xml:space="preserve"> (2018), “The bien r package: A tool to access the Botanical Information and Ecology Network (BIEN) database”, edited by McMahon, S.</w:t>
      </w:r>
      <w:r w:rsidRPr="00934C7A">
        <w:rPr>
          <w:rFonts w:cs="Times New Roman"/>
          <w:i/>
          <w:iCs/>
        </w:rPr>
        <w:t>Methods in Ecology and Evolution</w:t>
      </w:r>
      <w:r w:rsidRPr="00934C7A">
        <w:rPr>
          <w:rFonts w:cs="Times New Roman"/>
        </w:rPr>
        <w:t>, Vol. 9 No. 2, pp. 373–379.</w:t>
      </w:r>
    </w:p>
    <w:p w14:paraId="0675B774" w14:textId="77777777" w:rsidR="00934C7A" w:rsidRPr="00934C7A" w:rsidRDefault="00934C7A" w:rsidP="00934C7A">
      <w:pPr>
        <w:pStyle w:val="Bibliography"/>
        <w:rPr>
          <w:rFonts w:cs="Times New Roman"/>
        </w:rPr>
      </w:pPr>
      <w:r w:rsidRPr="00934C7A">
        <w:rPr>
          <w:rFonts w:cs="Times New Roman"/>
        </w:rPr>
        <w:t>Pladias. (n.d.). “Database of the Czech Flora and Vegetation”, available at: https://pladias.cz/.</w:t>
      </w:r>
    </w:p>
    <w:p w14:paraId="6DDDC5D7" w14:textId="711C3F08" w:rsidR="00122208" w:rsidRDefault="00C9256D" w:rsidP="00C9256D">
      <w:r>
        <w:fldChar w:fldCharType="end"/>
      </w:r>
    </w:p>
    <w:sectPr w:rsidR="00122208" w:rsidSect="00C9256D">
      <w:headerReference w:type="default" r:id="rId14"/>
      <w:footerReference w:type="default" r:id="rId15"/>
      <w:pgSz w:w="12240" w:h="15840"/>
      <w:pgMar w:top="1440" w:right="1800" w:bottom="1440" w:left="1800" w:header="708" w:footer="708"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D56342" w14:textId="77777777" w:rsidR="00BA4FB1" w:rsidRDefault="00BA4FB1">
      <w:pPr>
        <w:spacing w:line="240" w:lineRule="auto"/>
      </w:pPr>
      <w:r>
        <w:separator/>
      </w:r>
    </w:p>
  </w:endnote>
  <w:endnote w:type="continuationSeparator" w:id="0">
    <w:p w14:paraId="1452DECC" w14:textId="77777777" w:rsidR="00BA4FB1" w:rsidRDefault="00BA4F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1C461C" w14:textId="3D90779C" w:rsidR="005252CE" w:rsidRDefault="00AF1FD5">
    <w:pPr>
      <w:pStyle w:val="Footer"/>
      <w:jc w:val="right"/>
    </w:pPr>
    <w:r>
      <w:rPr>
        <w:rStyle w:val="PageNumber"/>
      </w:rPr>
      <w:fldChar w:fldCharType="begin"/>
    </w:r>
    <w:r>
      <w:rPr>
        <w:rStyle w:val="PageNumber"/>
      </w:rPr>
      <w:instrText>PAGE</w:instrText>
    </w:r>
    <w:r>
      <w:rPr>
        <w:rStyle w:val="PageNumber"/>
      </w:rPr>
      <w:fldChar w:fldCharType="separate"/>
    </w:r>
    <w:r w:rsidR="0013266C">
      <w:rPr>
        <w:rStyle w:val="PageNumber"/>
        <w:noProof/>
      </w:rPr>
      <w:t>13</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98D349" w14:textId="77777777" w:rsidR="00BA4FB1" w:rsidRDefault="00BA4FB1">
      <w:pPr>
        <w:spacing w:line="240" w:lineRule="auto"/>
      </w:pPr>
      <w:r>
        <w:separator/>
      </w:r>
    </w:p>
  </w:footnote>
  <w:footnote w:type="continuationSeparator" w:id="0">
    <w:p w14:paraId="6E6DBAE7" w14:textId="77777777" w:rsidR="00BA4FB1" w:rsidRDefault="00BA4FB1">
      <w:pPr>
        <w:spacing w:line="240" w:lineRule="auto"/>
      </w:pPr>
      <w:r>
        <w:continuationSeparator/>
      </w:r>
    </w:p>
  </w:footnote>
  <w:footnote w:id="1">
    <w:p w14:paraId="457E81A9" w14:textId="77777777" w:rsidR="00934C7A" w:rsidRPr="00436BF6" w:rsidRDefault="00934C7A" w:rsidP="00934C7A">
      <w:pPr>
        <w:pStyle w:val="FootnoteText"/>
        <w:rPr>
          <w:lang w:val="en-CA"/>
        </w:rPr>
      </w:pPr>
      <w:r>
        <w:rPr>
          <w:rStyle w:val="FootnoteReference"/>
        </w:rPr>
        <w:footnoteRef/>
      </w:r>
      <w:r>
        <w:t xml:space="preserve"> </w:t>
      </w:r>
      <w:r>
        <w:rPr>
          <w:lang w:val="en-CA"/>
        </w:rPr>
        <w:t xml:space="preserve">E-mail: </w:t>
      </w:r>
      <w:hyperlink r:id="rId1" w:history="1">
        <w:r w:rsidRPr="00E52995">
          <w:rPr>
            <w:rStyle w:val="Hyperlink"/>
            <w:lang w:val="en-CA"/>
          </w:rPr>
          <w:t>carlos.arnillasmerino@mail.utoronto.ca</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6D1574" w14:textId="77777777" w:rsidR="005252CE" w:rsidRDefault="0013266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942069"/>
    <w:multiLevelType w:val="hybridMultilevel"/>
    <w:tmpl w:val="CC126EF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F6A11F7"/>
    <w:multiLevelType w:val="multilevel"/>
    <w:tmpl w:val="31FE6A1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decimal"/>
      <w:lvlText w:val="%4"/>
      <w:lvlJc w:val="left"/>
      <w:pPr>
        <w:ind w:left="1584" w:hanging="864"/>
      </w:pPr>
    </w:lvl>
    <w:lvl w:ilvl="4">
      <w:start w:val="1"/>
      <w:numFmt w:val="decimal"/>
      <w:lvlText w:val="%4.%5"/>
      <w:lvlJc w:val="left"/>
      <w:pPr>
        <w:ind w:left="1728" w:hanging="1008"/>
      </w:pPr>
    </w:lvl>
    <w:lvl w:ilvl="5">
      <w:start w:val="1"/>
      <w:numFmt w:val="decimal"/>
      <w:lvlText w:val="%4.%5.%6"/>
      <w:lvlJc w:val="left"/>
      <w:pPr>
        <w:ind w:left="1872" w:hanging="1152"/>
      </w:pPr>
    </w:lvl>
    <w:lvl w:ilvl="6">
      <w:start w:val="1"/>
      <w:numFmt w:val="decimal"/>
      <w:lvlText w:val="%4.%5.%6.%7"/>
      <w:lvlJc w:val="left"/>
      <w:pPr>
        <w:ind w:left="2016" w:hanging="1296"/>
      </w:pPr>
    </w:lvl>
    <w:lvl w:ilvl="7">
      <w:start w:val="1"/>
      <w:numFmt w:val="decimal"/>
      <w:lvlText w:val="%4.%5.%6.%7.%8"/>
      <w:lvlJc w:val="left"/>
      <w:pPr>
        <w:ind w:left="2160" w:hanging="1440"/>
      </w:pPr>
    </w:lvl>
    <w:lvl w:ilvl="8">
      <w:start w:val="1"/>
      <w:numFmt w:val="decimal"/>
      <w:lvlText w:val="%4.%5.%6.%7.%8.%9"/>
      <w:lvlJc w:val="left"/>
      <w:pPr>
        <w:ind w:left="2304" w:hanging="1584"/>
      </w:pPr>
    </w:lvl>
  </w:abstractNum>
  <w:abstractNum w:abstractNumId="2" w15:restartNumberingAfterBreak="0">
    <w:nsid w:val="57CB4977"/>
    <w:multiLevelType w:val="multilevel"/>
    <w:tmpl w:val="C3124146"/>
    <w:lvl w:ilvl="0">
      <w:start w:val="1"/>
      <w:numFmt w:val="decimal"/>
      <w:pStyle w:val="Heading1"/>
      <w:lvlText w:val="SI%1"/>
      <w:lvlJc w:val="left"/>
      <w:pPr>
        <w:ind w:left="432" w:hanging="432"/>
      </w:pPr>
      <w:rPr>
        <w:rFonts w:hint="default"/>
      </w:rPr>
    </w:lvl>
    <w:lvl w:ilvl="1">
      <w:start w:val="1"/>
      <w:numFmt w:val="decimal"/>
      <w:pStyle w:val="Heading2"/>
      <w:lvlText w:val="SI%1.%2"/>
      <w:lvlJc w:val="left"/>
      <w:pPr>
        <w:ind w:left="576" w:hanging="576"/>
      </w:pPr>
      <w:rPr>
        <w:rFonts w:hint="default"/>
      </w:rPr>
    </w:lvl>
    <w:lvl w:ilvl="2">
      <w:start w:val="1"/>
      <w:numFmt w:val="decimal"/>
      <w:pStyle w:val="Heading3"/>
      <w:lvlText w:val="SI%1.%2.%3"/>
      <w:lvlJc w:val="left"/>
      <w:pPr>
        <w:ind w:left="720" w:hanging="720"/>
      </w:pPr>
      <w:rPr>
        <w:rFonts w:hint="default"/>
      </w:rPr>
    </w:lvl>
    <w:lvl w:ilvl="3">
      <w:start w:val="1"/>
      <w:numFmt w:val="decimal"/>
      <w:pStyle w:val="Heading4"/>
      <w:lvlText w:val="SI%1.%2.%3.%4"/>
      <w:lvlJc w:val="left"/>
      <w:pPr>
        <w:ind w:left="864" w:hanging="864"/>
      </w:pPr>
      <w:rPr>
        <w:rFonts w:hint="default"/>
      </w:rPr>
    </w:lvl>
    <w:lvl w:ilvl="4">
      <w:start w:val="1"/>
      <w:numFmt w:val="decimal"/>
      <w:pStyle w:val="Heading5"/>
      <w:lvlText w:val="SI%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256D"/>
    <w:rsid w:val="00122208"/>
    <w:rsid w:val="0013266C"/>
    <w:rsid w:val="002B747F"/>
    <w:rsid w:val="00352A58"/>
    <w:rsid w:val="00565B11"/>
    <w:rsid w:val="007019B8"/>
    <w:rsid w:val="00934C7A"/>
    <w:rsid w:val="00A9091D"/>
    <w:rsid w:val="00A94036"/>
    <w:rsid w:val="00AB2DE6"/>
    <w:rsid w:val="00AF1FD5"/>
    <w:rsid w:val="00B674F4"/>
    <w:rsid w:val="00BA4FB1"/>
    <w:rsid w:val="00C53079"/>
    <w:rsid w:val="00C9256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BA8C3A"/>
  <w15:chartTrackingRefBased/>
  <w15:docId w15:val="{D0E65B62-4D42-F64C-A95B-6D2AC8C26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256D"/>
    <w:pPr>
      <w:suppressAutoHyphens/>
      <w:spacing w:line="480" w:lineRule="auto"/>
      <w:ind w:firstLine="720"/>
      <w:jc w:val="both"/>
    </w:pPr>
    <w:rPr>
      <w:rFonts w:ascii="Times New Roman" w:eastAsia="Arial Unicode MS" w:hAnsi="Times New Roman" w:cs="Arial Unicode MS"/>
      <w:color w:val="000000"/>
      <w:szCs w:val="22"/>
      <w:u w:color="000000"/>
      <w:lang w:val="en-US"/>
    </w:rPr>
  </w:style>
  <w:style w:type="paragraph" w:styleId="Heading1">
    <w:name w:val="heading 1"/>
    <w:basedOn w:val="Normal"/>
    <w:next w:val="Normal"/>
    <w:link w:val="Heading1Char"/>
    <w:qFormat/>
    <w:rsid w:val="00C9256D"/>
    <w:pPr>
      <w:keepNext/>
      <w:numPr>
        <w:numId w:val="3"/>
      </w:numPr>
      <w:spacing w:before="240" w:after="60"/>
      <w:outlineLvl w:val="0"/>
    </w:pPr>
    <w:rPr>
      <w:b/>
      <w:bCs/>
      <w:kern w:val="2"/>
      <w:sz w:val="28"/>
    </w:rPr>
  </w:style>
  <w:style w:type="paragraph" w:styleId="Heading2">
    <w:name w:val="heading 2"/>
    <w:basedOn w:val="Normal"/>
    <w:next w:val="Normal"/>
    <w:link w:val="Heading2Char"/>
    <w:qFormat/>
    <w:rsid w:val="00C9256D"/>
    <w:pPr>
      <w:keepNext/>
      <w:numPr>
        <w:ilvl w:val="1"/>
        <w:numId w:val="3"/>
      </w:numPr>
      <w:tabs>
        <w:tab w:val="left" w:pos="576"/>
      </w:tabs>
      <w:spacing w:before="240" w:after="60"/>
      <w:outlineLvl w:val="1"/>
    </w:pPr>
    <w:rPr>
      <w:b/>
      <w:bCs/>
    </w:rPr>
  </w:style>
  <w:style w:type="paragraph" w:styleId="Heading3">
    <w:name w:val="heading 3"/>
    <w:basedOn w:val="Normal"/>
    <w:next w:val="Normal"/>
    <w:link w:val="Heading3Char"/>
    <w:qFormat/>
    <w:rsid w:val="00C9256D"/>
    <w:pPr>
      <w:keepNext/>
      <w:numPr>
        <w:ilvl w:val="2"/>
        <w:numId w:val="3"/>
      </w:numPr>
      <w:spacing w:before="240" w:after="60"/>
      <w:outlineLvl w:val="2"/>
    </w:pPr>
    <w:rPr>
      <w:i/>
      <w:iCs/>
    </w:rPr>
  </w:style>
  <w:style w:type="paragraph" w:styleId="Heading4">
    <w:name w:val="heading 4"/>
    <w:basedOn w:val="Normal"/>
    <w:next w:val="Normal"/>
    <w:link w:val="Heading4Char"/>
    <w:uiPriority w:val="9"/>
    <w:qFormat/>
    <w:rsid w:val="00C9256D"/>
    <w:pPr>
      <w:keepNext/>
      <w:numPr>
        <w:ilvl w:val="3"/>
        <w:numId w:val="3"/>
      </w:numPr>
      <w:spacing w:before="240" w:after="60"/>
      <w:outlineLvl w:val="3"/>
    </w:pPr>
    <w:rPr>
      <w:rFonts w:ascii="Cambria" w:eastAsia="MS Mincho" w:hAnsi="Cambria" w:cs="Times New Roman"/>
      <w:b/>
      <w:bCs/>
      <w:sz w:val="28"/>
      <w:szCs w:val="28"/>
    </w:rPr>
  </w:style>
  <w:style w:type="paragraph" w:styleId="Heading5">
    <w:name w:val="heading 5"/>
    <w:basedOn w:val="Normal"/>
    <w:next w:val="Normal"/>
    <w:link w:val="Heading5Char"/>
    <w:uiPriority w:val="9"/>
    <w:qFormat/>
    <w:rsid w:val="00C9256D"/>
    <w:pPr>
      <w:numPr>
        <w:ilvl w:val="4"/>
        <w:numId w:val="3"/>
      </w:numPr>
      <w:spacing w:before="240" w:after="60"/>
      <w:outlineLvl w:val="4"/>
    </w:pPr>
    <w:rPr>
      <w:rFonts w:ascii="Cambria" w:eastAsia="MS Mincho" w:hAnsi="Cambria" w:cs="Times New Roman"/>
      <w:b/>
      <w:bCs/>
      <w:i/>
      <w:iCs/>
      <w:sz w:val="26"/>
      <w:szCs w:val="26"/>
    </w:rPr>
  </w:style>
  <w:style w:type="paragraph" w:styleId="Heading6">
    <w:name w:val="heading 6"/>
    <w:basedOn w:val="Normal"/>
    <w:next w:val="Normal"/>
    <w:link w:val="Heading6Char"/>
    <w:uiPriority w:val="9"/>
    <w:qFormat/>
    <w:rsid w:val="00C9256D"/>
    <w:pPr>
      <w:numPr>
        <w:ilvl w:val="5"/>
        <w:numId w:val="3"/>
      </w:numPr>
      <w:spacing w:before="240" w:after="60"/>
      <w:outlineLvl w:val="5"/>
    </w:pPr>
    <w:rPr>
      <w:rFonts w:ascii="Cambria" w:eastAsia="MS Mincho" w:hAnsi="Cambria" w:cs="Times New Roman"/>
      <w:b/>
      <w:bCs/>
      <w:sz w:val="22"/>
    </w:rPr>
  </w:style>
  <w:style w:type="paragraph" w:styleId="Heading7">
    <w:name w:val="heading 7"/>
    <w:basedOn w:val="Normal"/>
    <w:next w:val="Normal"/>
    <w:link w:val="Heading7Char"/>
    <w:uiPriority w:val="9"/>
    <w:qFormat/>
    <w:rsid w:val="00C9256D"/>
    <w:pPr>
      <w:numPr>
        <w:ilvl w:val="6"/>
        <w:numId w:val="3"/>
      </w:numPr>
      <w:spacing w:before="240" w:after="60"/>
      <w:outlineLvl w:val="6"/>
    </w:pPr>
    <w:rPr>
      <w:rFonts w:ascii="Cambria" w:eastAsia="MS Mincho" w:hAnsi="Cambria" w:cs="Times New Roman"/>
    </w:rPr>
  </w:style>
  <w:style w:type="paragraph" w:styleId="Heading8">
    <w:name w:val="heading 8"/>
    <w:basedOn w:val="Normal"/>
    <w:next w:val="Normal"/>
    <w:link w:val="Heading8Char"/>
    <w:uiPriority w:val="9"/>
    <w:qFormat/>
    <w:rsid w:val="00C9256D"/>
    <w:pPr>
      <w:numPr>
        <w:ilvl w:val="7"/>
        <w:numId w:val="3"/>
      </w:numPr>
      <w:spacing w:before="240" w:after="60"/>
      <w:outlineLvl w:val="7"/>
    </w:pPr>
    <w:rPr>
      <w:rFonts w:ascii="Cambria" w:eastAsia="MS Mincho" w:hAnsi="Cambria" w:cs="Times New Roman"/>
      <w:i/>
      <w:iCs/>
    </w:rPr>
  </w:style>
  <w:style w:type="paragraph" w:styleId="Heading9">
    <w:name w:val="heading 9"/>
    <w:basedOn w:val="Normal"/>
    <w:next w:val="Normal"/>
    <w:link w:val="Heading9Char"/>
    <w:uiPriority w:val="9"/>
    <w:qFormat/>
    <w:rsid w:val="00C9256D"/>
    <w:pPr>
      <w:numPr>
        <w:ilvl w:val="8"/>
        <w:numId w:val="3"/>
      </w:numPr>
      <w:spacing w:before="240" w:after="60"/>
      <w:outlineLvl w:val="8"/>
    </w:pPr>
    <w:rPr>
      <w:rFonts w:ascii="Calibri" w:eastAsia="MS Gothic" w:hAnsi="Calibri"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qFormat/>
    <w:rsid w:val="00C9256D"/>
    <w:rPr>
      <w:rFonts w:ascii="Times New Roman" w:eastAsia="Arial Unicode MS" w:hAnsi="Times New Roman" w:cs="Arial Unicode MS"/>
      <w:b/>
      <w:bCs/>
      <w:color w:val="000000"/>
      <w:kern w:val="2"/>
      <w:sz w:val="28"/>
      <w:szCs w:val="22"/>
      <w:u w:color="000000"/>
      <w:lang w:val="en-US"/>
    </w:rPr>
  </w:style>
  <w:style w:type="character" w:customStyle="1" w:styleId="Heading2Char">
    <w:name w:val="Heading 2 Char"/>
    <w:basedOn w:val="DefaultParagraphFont"/>
    <w:link w:val="Heading2"/>
    <w:qFormat/>
    <w:rsid w:val="00C9256D"/>
    <w:rPr>
      <w:rFonts w:ascii="Times New Roman" w:eastAsia="Arial Unicode MS" w:hAnsi="Times New Roman" w:cs="Arial Unicode MS"/>
      <w:b/>
      <w:bCs/>
      <w:color w:val="000000"/>
      <w:szCs w:val="22"/>
      <w:u w:color="000000"/>
      <w:lang w:val="en-US"/>
    </w:rPr>
  </w:style>
  <w:style w:type="character" w:customStyle="1" w:styleId="Heading3Char">
    <w:name w:val="Heading 3 Char"/>
    <w:basedOn w:val="DefaultParagraphFont"/>
    <w:link w:val="Heading3"/>
    <w:qFormat/>
    <w:rsid w:val="00C9256D"/>
    <w:rPr>
      <w:rFonts w:ascii="Times New Roman" w:eastAsia="Arial Unicode MS" w:hAnsi="Times New Roman" w:cs="Arial Unicode MS"/>
      <w:i/>
      <w:iCs/>
      <w:color w:val="000000"/>
      <w:szCs w:val="22"/>
      <w:u w:color="000000"/>
      <w:lang w:val="en-US"/>
    </w:rPr>
  </w:style>
  <w:style w:type="character" w:customStyle="1" w:styleId="Heading4Char">
    <w:name w:val="Heading 4 Char"/>
    <w:basedOn w:val="DefaultParagraphFont"/>
    <w:link w:val="Heading4"/>
    <w:uiPriority w:val="9"/>
    <w:qFormat/>
    <w:rsid w:val="00C9256D"/>
    <w:rPr>
      <w:rFonts w:ascii="Cambria" w:eastAsia="MS Mincho" w:hAnsi="Cambria" w:cs="Times New Roman"/>
      <w:b/>
      <w:bCs/>
      <w:color w:val="000000"/>
      <w:sz w:val="28"/>
      <w:szCs w:val="28"/>
      <w:u w:color="000000"/>
      <w:lang w:val="en-US"/>
    </w:rPr>
  </w:style>
  <w:style w:type="character" w:customStyle="1" w:styleId="Heading5Char">
    <w:name w:val="Heading 5 Char"/>
    <w:basedOn w:val="DefaultParagraphFont"/>
    <w:link w:val="Heading5"/>
    <w:uiPriority w:val="9"/>
    <w:rsid w:val="00C9256D"/>
    <w:rPr>
      <w:rFonts w:ascii="Cambria" w:eastAsia="MS Mincho" w:hAnsi="Cambria" w:cs="Times New Roman"/>
      <w:b/>
      <w:bCs/>
      <w:i/>
      <w:iCs/>
      <w:color w:val="000000"/>
      <w:sz w:val="26"/>
      <w:szCs w:val="26"/>
      <w:u w:color="000000"/>
      <w:lang w:val="en-US"/>
    </w:rPr>
  </w:style>
  <w:style w:type="character" w:customStyle="1" w:styleId="Heading6Char">
    <w:name w:val="Heading 6 Char"/>
    <w:basedOn w:val="DefaultParagraphFont"/>
    <w:link w:val="Heading6"/>
    <w:uiPriority w:val="9"/>
    <w:rsid w:val="00C9256D"/>
    <w:rPr>
      <w:rFonts w:ascii="Cambria" w:eastAsia="MS Mincho" w:hAnsi="Cambria" w:cs="Times New Roman"/>
      <w:b/>
      <w:bCs/>
      <w:color w:val="000000"/>
      <w:sz w:val="22"/>
      <w:szCs w:val="22"/>
      <w:u w:color="000000"/>
      <w:lang w:val="en-US"/>
    </w:rPr>
  </w:style>
  <w:style w:type="character" w:customStyle="1" w:styleId="Heading7Char">
    <w:name w:val="Heading 7 Char"/>
    <w:basedOn w:val="DefaultParagraphFont"/>
    <w:link w:val="Heading7"/>
    <w:uiPriority w:val="9"/>
    <w:rsid w:val="00C9256D"/>
    <w:rPr>
      <w:rFonts w:ascii="Cambria" w:eastAsia="MS Mincho" w:hAnsi="Cambria" w:cs="Times New Roman"/>
      <w:color w:val="000000"/>
      <w:szCs w:val="22"/>
      <w:u w:color="000000"/>
      <w:lang w:val="en-US"/>
    </w:rPr>
  </w:style>
  <w:style w:type="character" w:customStyle="1" w:styleId="Heading8Char">
    <w:name w:val="Heading 8 Char"/>
    <w:basedOn w:val="DefaultParagraphFont"/>
    <w:link w:val="Heading8"/>
    <w:uiPriority w:val="9"/>
    <w:rsid w:val="00C9256D"/>
    <w:rPr>
      <w:rFonts w:ascii="Cambria" w:eastAsia="MS Mincho" w:hAnsi="Cambria" w:cs="Times New Roman"/>
      <w:i/>
      <w:iCs/>
      <w:color w:val="000000"/>
      <w:szCs w:val="22"/>
      <w:u w:color="000000"/>
      <w:lang w:val="en-US"/>
    </w:rPr>
  </w:style>
  <w:style w:type="character" w:customStyle="1" w:styleId="Heading9Char">
    <w:name w:val="Heading 9 Char"/>
    <w:basedOn w:val="DefaultParagraphFont"/>
    <w:link w:val="Heading9"/>
    <w:uiPriority w:val="9"/>
    <w:rsid w:val="00C9256D"/>
    <w:rPr>
      <w:rFonts w:ascii="Calibri" w:eastAsia="MS Gothic" w:hAnsi="Calibri" w:cs="Times New Roman"/>
      <w:color w:val="000000"/>
      <w:sz w:val="22"/>
      <w:szCs w:val="22"/>
      <w:u w:color="000000"/>
      <w:lang w:val="en-US"/>
    </w:rPr>
  </w:style>
  <w:style w:type="character" w:customStyle="1" w:styleId="FooterChar">
    <w:name w:val="Footer Char"/>
    <w:link w:val="Footer"/>
    <w:uiPriority w:val="99"/>
    <w:qFormat/>
    <w:rsid w:val="00C9256D"/>
    <w:rPr>
      <w:rFonts w:ascii="Times New Roman" w:eastAsia="Arial Unicode MS" w:hAnsi="Times New Roman" w:cs="Arial Unicode MS"/>
      <w:color w:val="000000"/>
      <w:szCs w:val="22"/>
      <w:u w:color="000000"/>
    </w:rPr>
  </w:style>
  <w:style w:type="character" w:customStyle="1" w:styleId="HeaderChar">
    <w:name w:val="Header Char"/>
    <w:link w:val="Header"/>
    <w:uiPriority w:val="99"/>
    <w:qFormat/>
    <w:rsid w:val="00C9256D"/>
    <w:rPr>
      <w:rFonts w:ascii="Times New Roman" w:eastAsia="Arial Unicode MS" w:hAnsi="Times New Roman" w:cs="Arial Unicode MS"/>
      <w:color w:val="000000"/>
      <w:szCs w:val="22"/>
      <w:u w:color="000000"/>
    </w:rPr>
  </w:style>
  <w:style w:type="character" w:styleId="PageNumber">
    <w:name w:val="page number"/>
    <w:uiPriority w:val="99"/>
    <w:semiHidden/>
    <w:unhideWhenUsed/>
    <w:qFormat/>
    <w:rsid w:val="00C9256D"/>
  </w:style>
  <w:style w:type="paragraph" w:styleId="Caption">
    <w:name w:val="caption"/>
    <w:basedOn w:val="Normal"/>
    <w:next w:val="Normal"/>
    <w:qFormat/>
    <w:rsid w:val="00C9256D"/>
    <w:pPr>
      <w:spacing w:after="120"/>
    </w:pPr>
    <w:rPr>
      <w:rFonts w:eastAsia="Times New Roman" w:cs="Times New Roman"/>
      <w:b/>
      <w:bCs/>
      <w:sz w:val="20"/>
      <w:szCs w:val="20"/>
      <w:lang w:val="en-GB" w:eastAsia="zh-CN"/>
    </w:rPr>
  </w:style>
  <w:style w:type="paragraph" w:styleId="Bibliography">
    <w:name w:val="Bibliography"/>
    <w:basedOn w:val="Normal"/>
    <w:next w:val="Normal"/>
    <w:uiPriority w:val="37"/>
    <w:unhideWhenUsed/>
    <w:qFormat/>
    <w:rsid w:val="00C9256D"/>
    <w:pPr>
      <w:tabs>
        <w:tab w:val="left" w:pos="500"/>
      </w:tabs>
      <w:ind w:left="720" w:hanging="720"/>
    </w:pPr>
  </w:style>
  <w:style w:type="paragraph" w:styleId="Footer">
    <w:name w:val="footer"/>
    <w:basedOn w:val="Normal"/>
    <w:link w:val="FooterChar"/>
    <w:uiPriority w:val="99"/>
    <w:unhideWhenUsed/>
    <w:rsid w:val="00C9256D"/>
    <w:pPr>
      <w:suppressLineNumbers/>
      <w:tabs>
        <w:tab w:val="center" w:pos="4320"/>
        <w:tab w:val="right" w:pos="8640"/>
      </w:tabs>
    </w:pPr>
    <w:rPr>
      <w:lang w:val="en-CA"/>
    </w:rPr>
  </w:style>
  <w:style w:type="character" w:customStyle="1" w:styleId="FooterChar1">
    <w:name w:val="Footer Char1"/>
    <w:basedOn w:val="DefaultParagraphFont"/>
    <w:uiPriority w:val="99"/>
    <w:semiHidden/>
    <w:rsid w:val="00C9256D"/>
    <w:rPr>
      <w:rFonts w:ascii="Times New Roman" w:eastAsia="Arial Unicode MS" w:hAnsi="Times New Roman" w:cs="Arial Unicode MS"/>
      <w:color w:val="000000"/>
      <w:szCs w:val="22"/>
      <w:u w:color="000000"/>
      <w:lang w:val="en-US"/>
    </w:rPr>
  </w:style>
  <w:style w:type="paragraph" w:styleId="Header">
    <w:name w:val="header"/>
    <w:basedOn w:val="Normal"/>
    <w:link w:val="HeaderChar"/>
    <w:uiPriority w:val="99"/>
    <w:unhideWhenUsed/>
    <w:rsid w:val="00C9256D"/>
    <w:pPr>
      <w:suppressLineNumbers/>
      <w:tabs>
        <w:tab w:val="center" w:pos="4513"/>
        <w:tab w:val="right" w:pos="9026"/>
      </w:tabs>
    </w:pPr>
    <w:rPr>
      <w:lang w:val="en-CA"/>
    </w:rPr>
  </w:style>
  <w:style w:type="character" w:customStyle="1" w:styleId="HeaderChar1">
    <w:name w:val="Header Char1"/>
    <w:basedOn w:val="DefaultParagraphFont"/>
    <w:uiPriority w:val="99"/>
    <w:semiHidden/>
    <w:rsid w:val="00C9256D"/>
    <w:rPr>
      <w:rFonts w:ascii="Times New Roman" w:eastAsia="Arial Unicode MS" w:hAnsi="Times New Roman" w:cs="Arial Unicode MS"/>
      <w:color w:val="000000"/>
      <w:szCs w:val="22"/>
      <w:u w:color="000000"/>
      <w:lang w:val="en-US"/>
    </w:rPr>
  </w:style>
  <w:style w:type="paragraph" w:customStyle="1" w:styleId="tabletext">
    <w:name w:val="table text"/>
    <w:basedOn w:val="Normal"/>
    <w:qFormat/>
    <w:rsid w:val="00C9256D"/>
    <w:pPr>
      <w:keepNext/>
      <w:keepLines/>
      <w:suppressAutoHyphens w:val="0"/>
      <w:spacing w:line="240" w:lineRule="auto"/>
      <w:ind w:firstLine="0"/>
      <w:jc w:val="center"/>
    </w:pPr>
    <w:rPr>
      <w:rFonts w:eastAsia="Times New Roman" w:cs="Times New Roman"/>
      <w:sz w:val="20"/>
      <w:szCs w:val="20"/>
    </w:rPr>
  </w:style>
  <w:style w:type="table" w:styleId="TableGrid">
    <w:name w:val="Table Grid"/>
    <w:basedOn w:val="TableNormal"/>
    <w:uiPriority w:val="39"/>
    <w:rsid w:val="00C9256D"/>
    <w:rPr>
      <w:rFonts w:eastAsiaTheme="minorEastAsia"/>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C9256D"/>
  </w:style>
  <w:style w:type="character" w:customStyle="1" w:styleId="apple-converted-space">
    <w:name w:val="apple-converted-space"/>
    <w:basedOn w:val="DefaultParagraphFont"/>
    <w:rsid w:val="00C9256D"/>
  </w:style>
  <w:style w:type="character" w:styleId="Hyperlink">
    <w:name w:val="Hyperlink"/>
    <w:basedOn w:val="DefaultParagraphFont"/>
    <w:uiPriority w:val="99"/>
    <w:unhideWhenUsed/>
    <w:rsid w:val="00934C7A"/>
    <w:rPr>
      <w:color w:val="0563C1" w:themeColor="hyperlink"/>
      <w:u w:val="single"/>
    </w:rPr>
  </w:style>
  <w:style w:type="paragraph" w:styleId="FootnoteText">
    <w:name w:val="footnote text"/>
    <w:basedOn w:val="Normal"/>
    <w:link w:val="FootnoteTextChar"/>
    <w:uiPriority w:val="99"/>
    <w:semiHidden/>
    <w:unhideWhenUsed/>
    <w:rsid w:val="00934C7A"/>
    <w:pPr>
      <w:spacing w:line="240" w:lineRule="auto"/>
    </w:pPr>
    <w:rPr>
      <w:sz w:val="20"/>
      <w:szCs w:val="20"/>
    </w:rPr>
  </w:style>
  <w:style w:type="character" w:customStyle="1" w:styleId="FootnoteTextChar">
    <w:name w:val="Footnote Text Char"/>
    <w:basedOn w:val="DefaultParagraphFont"/>
    <w:link w:val="FootnoteText"/>
    <w:uiPriority w:val="99"/>
    <w:semiHidden/>
    <w:rsid w:val="00934C7A"/>
    <w:rPr>
      <w:rFonts w:ascii="Times New Roman" w:eastAsia="Arial Unicode MS" w:hAnsi="Times New Roman" w:cs="Arial Unicode MS"/>
      <w:color w:val="000000"/>
      <w:sz w:val="20"/>
      <w:szCs w:val="20"/>
      <w:u w:color="000000"/>
      <w:lang w:val="en-US"/>
    </w:rPr>
  </w:style>
  <w:style w:type="character" w:styleId="FootnoteReference">
    <w:name w:val="footnote reference"/>
    <w:basedOn w:val="DefaultParagraphFont"/>
    <w:uiPriority w:val="99"/>
    <w:semiHidden/>
    <w:unhideWhenUsed/>
    <w:rsid w:val="00934C7A"/>
    <w:rPr>
      <w:vertAlign w:val="superscript"/>
    </w:rPr>
  </w:style>
  <w:style w:type="character" w:styleId="FollowedHyperlink">
    <w:name w:val="FollowedHyperlink"/>
    <w:basedOn w:val="DefaultParagraphFont"/>
    <w:uiPriority w:val="99"/>
    <w:semiHidden/>
    <w:unhideWhenUsed/>
    <w:rsid w:val="00B674F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3" Type="http://schemas.openxmlformats.org/officeDocument/2006/relationships/settings" Target="settings.xml"/><Relationship Id="rId7" Type="http://schemas.openxmlformats.org/officeDocument/2006/relationships/hyperlink" Target="https://doi.org/10.1002/ece3.8266" TargetMode="External"/><Relationship Id="rId12" Type="http://schemas.openxmlformats.org/officeDocument/2006/relationships/image" Target="media/image5.e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emf"/><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mailto:carlos.arnillasmerino@mail.utoronto.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8450</Words>
  <Characters>48168</Characters>
  <Application>Microsoft Office Word</Application>
  <DocSecurity>4</DocSecurity>
  <Lines>401</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Alberto Arnillas</dc:creator>
  <cp:keywords/>
  <dc:description/>
  <cp:lastModifiedBy>Margaret Mering</cp:lastModifiedBy>
  <cp:revision>2</cp:revision>
  <dcterms:created xsi:type="dcterms:W3CDTF">2022-01-12T14:38:00Z</dcterms:created>
  <dcterms:modified xsi:type="dcterms:W3CDTF">2022-01-12T14:38:00Z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zotero-version="5.0.96.3"&gt;&lt;session id="3Bl83gNn"/&gt;&lt;style id="http://www.zotero.org/styles/emerald-harvard" hasBibliography="1" bibliographyStyleHasBeenSet="1"/&gt;&lt;prefs&gt;&lt;pref name="fieldType" value="Field"/&gt;&lt;/prefs&gt;&lt;/data&gt;</vt:lpwstr>
  </property>
</Properties>
</file>