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8BE2" w14:textId="4CA42F4F" w:rsidR="003A28B9" w:rsidRPr="00634641" w:rsidRDefault="005D049F" w:rsidP="005D04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4641">
        <w:rPr>
          <w:rFonts w:ascii="Times New Roman" w:hAnsi="Times New Roman" w:cs="Times New Roman"/>
          <w:b/>
          <w:bCs/>
          <w:sz w:val="24"/>
          <w:szCs w:val="24"/>
        </w:rPr>
        <w:t xml:space="preserve">Supplementary Online Material </w:t>
      </w:r>
      <w:r w:rsidR="006F50C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34641" w:rsidRPr="00634641">
        <w:rPr>
          <w:rFonts w:ascii="Times New Roman" w:hAnsi="Times New Roman" w:cs="Times New Roman"/>
          <w:b/>
          <w:bCs/>
          <w:sz w:val="24"/>
          <w:szCs w:val="24"/>
        </w:rPr>
        <w:t>: Type IV analysis of juvenile functional responses without high midge density observations</w:t>
      </w:r>
    </w:p>
    <w:p w14:paraId="6E3D7EA4" w14:textId="331F846F" w:rsidR="005D049F" w:rsidRDefault="005D049F" w:rsidP="005D04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14:paraId="78D98B12" w14:textId="4A5E587B" w:rsidR="005D049F" w:rsidRDefault="005D049F" w:rsidP="005D04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Coblentz, K.E., A. Squires, S. Uiterwaal, </w:t>
      </w:r>
      <w:r w:rsidR="00444A60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J.P. DeLong. Quantifying predator functional responses under field conditions reveals interactive effects of temperature and interference with sex and stage.</w:t>
      </w:r>
      <w:r w:rsidR="00634641">
        <w:rPr>
          <w:rFonts w:ascii="Times New Roman" w:hAnsi="Times New Roman" w:cs="Times New Roman"/>
          <w:sz w:val="24"/>
          <w:szCs w:val="24"/>
        </w:rPr>
        <w:t xml:space="preserve"> </w:t>
      </w:r>
      <w:r w:rsidR="00634641">
        <w:rPr>
          <w:rFonts w:ascii="Times New Roman" w:hAnsi="Times New Roman" w:cs="Times New Roman"/>
          <w:i/>
          <w:iCs/>
          <w:sz w:val="24"/>
          <w:szCs w:val="24"/>
        </w:rPr>
        <w:t>Journal of Animal Ecology</w:t>
      </w:r>
      <w:r w:rsidR="00634641">
        <w:rPr>
          <w:rFonts w:ascii="Times New Roman" w:hAnsi="Times New Roman" w:cs="Times New Roman"/>
          <w:sz w:val="24"/>
          <w:szCs w:val="24"/>
        </w:rPr>
        <w:t>.</w:t>
      </w:r>
    </w:p>
    <w:p w14:paraId="792BA318" w14:textId="77777777" w:rsidR="006E1C20" w:rsidRDefault="00634641" w:rsidP="004879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main text, our analysis </w:t>
      </w:r>
      <w:r w:rsidR="00B14AD1">
        <w:rPr>
          <w:rFonts w:ascii="Times New Roman" w:hAnsi="Times New Roman" w:cs="Times New Roman"/>
          <w:sz w:val="24"/>
          <w:szCs w:val="24"/>
        </w:rPr>
        <w:t xml:space="preserve">suggests that juveniles may exhibit a Type IV or dome-shaped relationship between their feeding rates and midge densities. However, this relationship appears to be dependent on four surveys at high midge densities. To assess whether </w:t>
      </w:r>
      <w:r w:rsidR="00444A60">
        <w:rPr>
          <w:rFonts w:ascii="Times New Roman" w:hAnsi="Times New Roman" w:cs="Times New Roman"/>
          <w:sz w:val="24"/>
          <w:szCs w:val="24"/>
        </w:rPr>
        <w:t xml:space="preserve">evidence for the dome-shaped relationship is dependent on the </w:t>
      </w:r>
      <w:r w:rsidR="003E70DC">
        <w:rPr>
          <w:rFonts w:ascii="Times New Roman" w:hAnsi="Times New Roman" w:cs="Times New Roman"/>
          <w:sz w:val="24"/>
          <w:szCs w:val="24"/>
        </w:rPr>
        <w:t>four surveys at high midge densities</w:t>
      </w:r>
      <w:r w:rsidR="00444A60">
        <w:rPr>
          <w:rFonts w:ascii="Times New Roman" w:hAnsi="Times New Roman" w:cs="Times New Roman"/>
          <w:sz w:val="24"/>
          <w:szCs w:val="24"/>
        </w:rPr>
        <w:t>, we refit the parametric dome-shaped functional response to the data excluding the four surveys.</w:t>
      </w:r>
      <w:r w:rsidR="003E70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BC5D62" w14:textId="6D51E0D8" w:rsidR="00487942" w:rsidRPr="00487942" w:rsidRDefault="00487942" w:rsidP="000E7B4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dome-shaped functional response we used is the same as in the main text</w:t>
      </w:r>
    </w:p>
    <w:p w14:paraId="4AFBC506" w14:textId="35506362" w:rsidR="00487942" w:rsidRPr="00487942" w:rsidRDefault="00D56543" w:rsidP="00DB3C54">
      <w:pPr>
        <w:spacing w:line="48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w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sup>
            </m:sSup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w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F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sub>
            </m:sSub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en>
        </m:f>
      </m:oMath>
      <w:r w:rsidR="00DB3C54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</w:t>
      </w:r>
      <w:r w:rsidR="00487942">
        <w:rPr>
          <w:rFonts w:ascii="Times New Roman" w:eastAsiaTheme="minorEastAsia" w:hAnsi="Times New Roman" w:cs="Times New Roman"/>
          <w:sz w:val="24"/>
          <w:szCs w:val="24"/>
        </w:rPr>
        <w:t>eq</w:t>
      </w:r>
      <w:r w:rsidR="00DB3C54">
        <w:rPr>
          <w:rFonts w:ascii="Times New Roman" w:eastAsiaTheme="minorEastAsia" w:hAnsi="Times New Roman" w:cs="Times New Roman"/>
          <w:sz w:val="24"/>
          <w:szCs w:val="24"/>
        </w:rPr>
        <w:t>n. S1.1</w:t>
      </w:r>
    </w:p>
    <w:p w14:paraId="090AC31E" w14:textId="38CF23B1" w:rsidR="00487942" w:rsidRDefault="00DB3C54" w:rsidP="006346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ECC">
        <w:rPr>
          <w:rFonts w:ascii="Times New Roman" w:hAnsi="Times New Roman" w:cs="Times New Roman"/>
          <w:sz w:val="24"/>
          <w:szCs w:val="24"/>
        </w:rPr>
        <w:t xml:space="preserve">is the feeding rate in survey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="00530EC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T+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and is the temperature-dependent space clearance rate where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are parameters describing a potentially quadratic relationship between temperature</w:t>
      </w:r>
      <w:r w:rsidR="00530ECC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T</m:t>
        </m:r>
      </m:oMath>
      <w:r w:rsidR="00530ECC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and the space clearance rate,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530ECC">
        <w:rPr>
          <w:rFonts w:ascii="Times New Roman" w:eastAsiaTheme="minorEastAsia" w:hAnsi="Times New Roman" w:cs="Times New Roman"/>
          <w:sz w:val="24"/>
          <w:szCs w:val="24"/>
        </w:rPr>
        <w:t xml:space="preserve"> is the resource density in survey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="00530EC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w</m:t>
        </m:r>
      </m:oMath>
      <w:r w:rsidR="00530ECC">
        <w:rPr>
          <w:rFonts w:ascii="Times New Roman" w:eastAsiaTheme="minorEastAsia" w:hAnsi="Times New Roman" w:cs="Times New Roman"/>
          <w:sz w:val="24"/>
          <w:szCs w:val="24"/>
        </w:rPr>
        <w:t xml:space="preserve"> is a parameter that is negative when the functional response is hump-shaped,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530ECC">
        <w:rPr>
          <w:rFonts w:ascii="Times New Roman" w:eastAsiaTheme="minorEastAsia" w:hAnsi="Times New Roman" w:cs="Times New Roman"/>
          <w:sz w:val="24"/>
          <w:szCs w:val="24"/>
        </w:rPr>
        <w:t xml:space="preserve"> is the detection/handling time for survey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="00530EC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F1529B">
        <w:rPr>
          <w:rFonts w:ascii="Times New Roman" w:eastAsiaTheme="minorEastAsia" w:hAnsi="Times New Roman" w:cs="Times New Roman"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γ</m:t>
            </m: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</m:t>
            </m:r>
          </m:sub>
        </m:sSub>
      </m:oMath>
      <w:r w:rsidR="00F1529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γ</m:t>
            </m: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sub>
        </m:sSub>
      </m:oMath>
      <w:r w:rsidR="00F1529B">
        <w:rPr>
          <w:rFonts w:ascii="Times New Roman" w:eastAsiaTheme="minorEastAsia" w:hAnsi="Times New Roman" w:cs="Times New Roman"/>
          <w:sz w:val="24"/>
          <w:szCs w:val="24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γ</m:t>
            </m: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sub>
        </m:sSub>
      </m:oMath>
      <w:r w:rsidR="00F1529B">
        <w:rPr>
          <w:rFonts w:ascii="Times New Roman" w:eastAsiaTheme="minorEastAsia" w:hAnsi="Times New Roman" w:cs="Times New Roman"/>
          <w:sz w:val="24"/>
          <w:szCs w:val="24"/>
        </w:rPr>
        <w:t xml:space="preserve"> are the interference rates associated with juvenile, female, and male densities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F1529B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F1529B">
        <w:rPr>
          <w:rFonts w:ascii="Times New Roman" w:eastAsiaTheme="minorEastAsia" w:hAnsi="Times New Roman" w:cs="Times New Roman"/>
          <w:sz w:val="24"/>
          <w:szCs w:val="24"/>
        </w:rPr>
        <w:t xml:space="preserve">,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F1529B">
        <w:rPr>
          <w:rFonts w:ascii="Times New Roman" w:eastAsiaTheme="minorEastAsia" w:hAnsi="Times New Roman" w:cs="Times New Roman"/>
          <w:sz w:val="24"/>
          <w:szCs w:val="24"/>
        </w:rPr>
        <w:t>, respectively.</w:t>
      </w:r>
      <w:r w:rsidR="00B22705">
        <w:rPr>
          <w:rFonts w:ascii="Times New Roman" w:eastAsiaTheme="minorEastAsia" w:hAnsi="Times New Roman" w:cs="Times New Roman"/>
          <w:sz w:val="24"/>
          <w:szCs w:val="24"/>
        </w:rPr>
        <w:t xml:space="preserve"> As in the main text, we </w:t>
      </w:r>
      <w:r w:rsidR="007E6942">
        <w:rPr>
          <w:rFonts w:ascii="Times New Roman" w:eastAsiaTheme="minorEastAsia" w:hAnsi="Times New Roman" w:cs="Times New Roman"/>
          <w:sz w:val="24"/>
          <w:szCs w:val="24"/>
        </w:rPr>
        <w:t>estimated the parameters of the functional response using Bayesian methods</w:t>
      </w:r>
      <w:r w:rsidR="006E1C20">
        <w:rPr>
          <w:rFonts w:ascii="Times New Roman" w:eastAsiaTheme="minorEastAsia" w:hAnsi="Times New Roman" w:cs="Times New Roman"/>
          <w:sz w:val="24"/>
          <w:szCs w:val="24"/>
        </w:rPr>
        <w:t xml:space="preserve">, with </w:t>
      </w:r>
      <w:r w:rsidR="006E1C20">
        <w:rPr>
          <w:rFonts w:ascii="Times New Roman" w:hAnsi="Times New Roman" w:cs="Times New Roman"/>
          <w:sz w:val="24"/>
          <w:szCs w:val="24"/>
        </w:rPr>
        <w:t xml:space="preserve">weakly informative or regularizing priors on each of the parameters. </w:t>
      </w:r>
      <w:r w:rsidR="006E1C20">
        <w:rPr>
          <w:rFonts w:ascii="Times New Roman" w:eastAsiaTheme="minorEastAsia" w:hAnsi="Times New Roman" w:cs="Times New Roman"/>
          <w:sz w:val="24"/>
          <w:szCs w:val="24"/>
        </w:rPr>
        <w:t xml:space="preserve">For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 w:rsidR="006E1C20">
        <w:rPr>
          <w:rFonts w:ascii="Times New Roman" w:eastAsiaTheme="minorEastAsia" w:hAnsi="Times New Roman" w:cs="Times New Roman"/>
          <w:sz w:val="24"/>
          <w:szCs w:val="24"/>
        </w:rPr>
        <w:t xml:space="preserve">, we used a Normal(mean = 10, standard deviation = 15) prior that was truncated at zero. For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 w:rsidR="006E1C20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 w:rsidR="006E1C20">
        <w:rPr>
          <w:rFonts w:ascii="Times New Roman" w:eastAsiaTheme="minorEastAsia" w:hAnsi="Times New Roman" w:cs="Times New Roman"/>
          <w:sz w:val="24"/>
          <w:szCs w:val="24"/>
        </w:rPr>
        <w:t xml:space="preserve"> and the interference parameters, we used Normal(mean = 0, standard deviation = 1) priors. </w:t>
      </w:r>
      <w:r w:rsidR="006E1C20">
        <w:rPr>
          <w:rFonts w:ascii="Times New Roman" w:hAnsi="Times New Roman" w:cs="Times New Roman"/>
          <w:sz w:val="24"/>
          <w:szCs w:val="24"/>
        </w:rPr>
        <w:t xml:space="preserve">We fit the functional response model using the program Stan through R using the package ‘rstan’ </w:t>
      </w:r>
      <w:r w:rsidR="006E1C20">
        <w:rPr>
          <w:rFonts w:ascii="Times New Roman" w:hAnsi="Times New Roman" w:cs="Times New Roman"/>
          <w:sz w:val="24"/>
          <w:szCs w:val="24"/>
        </w:rPr>
        <w:fldChar w:fldCharType="begin"/>
      </w:r>
      <w:r w:rsidR="006E1C20">
        <w:rPr>
          <w:rFonts w:ascii="Times New Roman" w:hAnsi="Times New Roman" w:cs="Times New Roman"/>
          <w:sz w:val="24"/>
          <w:szCs w:val="24"/>
        </w:rPr>
        <w:instrText xml:space="preserve"> ADDIN ZOTERO_ITEM CSL_CITATION {"citationID":"quEgsQZp","properties":{"formattedCitation":"(Stan Development Team, 2021)","plainCitation":"(Stan Development Team, 2021)","noteIndex":0},"citationItems":[{"id":215,"uris":["http://zotero.org/users/8178597/items/6CYUBSVM"],"uri":["http://zotero.org/users/8178597/items/6CYUBSVM"],"itemData":{"id":215,"type":"article","title":"RStan: the R interface to Stan","URL":"https://mc-stan.org/","author":[{"literal":"Stan Development Team"}],"issued":{"date-parts":[["2021"]]}}}],"schema":"https://github.com/citation-style-language/schema/raw/master/csl-citation.json"} </w:instrText>
      </w:r>
      <w:r w:rsidR="006E1C20">
        <w:rPr>
          <w:rFonts w:ascii="Times New Roman" w:hAnsi="Times New Roman" w:cs="Times New Roman"/>
          <w:sz w:val="24"/>
          <w:szCs w:val="24"/>
        </w:rPr>
        <w:fldChar w:fldCharType="separate"/>
      </w:r>
      <w:r w:rsidR="006E1C20" w:rsidRPr="00927D95">
        <w:rPr>
          <w:rFonts w:ascii="Times New Roman" w:hAnsi="Times New Roman" w:cs="Times New Roman"/>
          <w:sz w:val="24"/>
        </w:rPr>
        <w:t>(Stan Development Team, 2021)</w:t>
      </w:r>
      <w:r w:rsidR="006E1C20">
        <w:rPr>
          <w:rFonts w:ascii="Times New Roman" w:hAnsi="Times New Roman" w:cs="Times New Roman"/>
          <w:sz w:val="24"/>
          <w:szCs w:val="24"/>
        </w:rPr>
        <w:fldChar w:fldCharType="end"/>
      </w:r>
      <w:r w:rsidR="006E1C20">
        <w:rPr>
          <w:rFonts w:ascii="Times New Roman" w:hAnsi="Times New Roman" w:cs="Times New Roman"/>
          <w:sz w:val="24"/>
          <w:szCs w:val="24"/>
        </w:rPr>
        <w:t>.</w:t>
      </w:r>
    </w:p>
    <w:p w14:paraId="13CBDAB1" w14:textId="15F81E67" w:rsidR="008247D6" w:rsidRDefault="000E7B4F" w:rsidP="00F016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Without the four observations at the highest midge densities, there is no longer evidence for a dome-shaped or Type IV functional response (Figure S1.1A).</w:t>
      </w:r>
      <w:r w:rsidR="002D10FB">
        <w:rPr>
          <w:rFonts w:ascii="Times New Roman" w:hAnsi="Times New Roman" w:cs="Times New Roman"/>
          <w:sz w:val="24"/>
          <w:szCs w:val="24"/>
        </w:rPr>
        <w:t xml:space="preserve"> The fit of the functional response showed an increasing, saturating relationship with midge densities. The parameters described a weak but possible unimodal, convex relationship between space clearance rates and temperature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 w:rsidR="002D10FB">
        <w:rPr>
          <w:rFonts w:ascii="Times New Roman" w:eastAsiaTheme="minorEastAsia" w:hAnsi="Times New Roman" w:cs="Times New Roman"/>
          <w:sz w:val="24"/>
          <w:szCs w:val="24"/>
        </w:rPr>
        <w:t xml:space="preserve"> = 1</w:t>
      </w:r>
      <w:r w:rsidR="004A0CE2">
        <w:rPr>
          <w:rFonts w:ascii="Times New Roman" w:eastAsiaTheme="minorEastAsia" w:hAnsi="Times New Roman" w:cs="Times New Roman"/>
          <w:sz w:val="24"/>
          <w:szCs w:val="24"/>
        </w:rPr>
        <w:t>5.6</w:t>
      </w:r>
      <w:r w:rsidR="002D10FB">
        <w:rPr>
          <w:rFonts w:ascii="Times New Roman" w:eastAsiaTheme="minorEastAsia" w:hAnsi="Times New Roman" w:cs="Times New Roman"/>
          <w:sz w:val="24"/>
          <w:szCs w:val="24"/>
        </w:rPr>
        <w:t xml:space="preserve">, 90% CrI </w:t>
      </w:r>
      <w:r w:rsidR="004A0CE2">
        <w:rPr>
          <w:rFonts w:ascii="Times New Roman" w:eastAsiaTheme="minorEastAsia" w:hAnsi="Times New Roman" w:cs="Times New Roman"/>
          <w:sz w:val="24"/>
          <w:szCs w:val="24"/>
        </w:rPr>
        <w:t>2.8</w:t>
      </w:r>
      <w:r w:rsidR="002D10FB">
        <w:rPr>
          <w:rFonts w:ascii="Times New Roman" w:eastAsiaTheme="minorEastAsia" w:hAnsi="Times New Roman" w:cs="Times New Roman"/>
          <w:sz w:val="24"/>
          <w:szCs w:val="24"/>
        </w:rPr>
        <w:t>-3</w:t>
      </w:r>
      <w:r w:rsidR="004A0CE2">
        <w:rPr>
          <w:rFonts w:ascii="Times New Roman" w:eastAsiaTheme="minorEastAsia" w:hAnsi="Times New Roman" w:cs="Times New Roman"/>
          <w:sz w:val="24"/>
          <w:szCs w:val="24"/>
        </w:rPr>
        <w:t>6.3</w:t>
      </w:r>
      <w:r w:rsidR="002D10F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</m:sSub>
      </m:oMath>
      <w:r w:rsidR="002D10FB">
        <w:rPr>
          <w:rFonts w:ascii="Times New Roman" w:eastAsiaTheme="minorEastAsia" w:hAnsi="Times New Roman" w:cs="Times New Roman"/>
          <w:sz w:val="24"/>
          <w:szCs w:val="24"/>
        </w:rPr>
        <w:t xml:space="preserve"> = -0.</w:t>
      </w:r>
      <w:r w:rsidR="004A0CE2">
        <w:rPr>
          <w:rFonts w:ascii="Times New Roman" w:eastAsiaTheme="minorEastAsia" w:hAnsi="Times New Roman" w:cs="Times New Roman"/>
          <w:sz w:val="24"/>
          <w:szCs w:val="24"/>
        </w:rPr>
        <w:t>17</w:t>
      </w:r>
      <w:r w:rsidR="002D10FB">
        <w:rPr>
          <w:rFonts w:ascii="Times New Roman" w:eastAsiaTheme="minorEastAsia" w:hAnsi="Times New Roman" w:cs="Times New Roman"/>
          <w:sz w:val="24"/>
          <w:szCs w:val="24"/>
        </w:rPr>
        <w:t>, 90% CrI -0.</w:t>
      </w:r>
      <w:r w:rsidR="004A0CE2">
        <w:rPr>
          <w:rFonts w:ascii="Times New Roman" w:eastAsiaTheme="minorEastAsia" w:hAnsi="Times New Roman" w:cs="Times New Roman"/>
          <w:sz w:val="24"/>
          <w:szCs w:val="24"/>
        </w:rPr>
        <w:t>27</w:t>
      </w:r>
      <w:r w:rsidR="002D10FB">
        <w:rPr>
          <w:rFonts w:ascii="Times New Roman" w:eastAsiaTheme="minorEastAsia" w:hAnsi="Times New Roman" w:cs="Times New Roman"/>
          <w:sz w:val="24"/>
          <w:szCs w:val="24"/>
        </w:rPr>
        <w:t>- -0.0</w:t>
      </w:r>
      <w:r w:rsidR="004A0CE2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2D10FB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sub>
        </m:sSub>
      </m:oMath>
      <w:r w:rsidR="002D10FB">
        <w:rPr>
          <w:rFonts w:ascii="Times New Roman" w:eastAsiaTheme="minorEastAsia" w:hAnsi="Times New Roman" w:cs="Times New Roman"/>
          <w:sz w:val="24"/>
          <w:szCs w:val="24"/>
        </w:rPr>
        <w:t xml:space="preserve"> = 0.00</w:t>
      </w:r>
      <w:r w:rsidR="0051148C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2D10FB">
        <w:rPr>
          <w:rFonts w:ascii="Times New Roman" w:eastAsiaTheme="minorEastAsia" w:hAnsi="Times New Roman" w:cs="Times New Roman"/>
          <w:sz w:val="24"/>
          <w:szCs w:val="24"/>
        </w:rPr>
        <w:t>, 90% CrI 0.001-0.005</w:t>
      </w:r>
      <w:r w:rsidR="002D10FB">
        <w:rPr>
          <w:rFonts w:ascii="Times New Roman" w:hAnsi="Times New Roman" w:cs="Times New Roman"/>
          <w:sz w:val="24"/>
          <w:szCs w:val="24"/>
        </w:rPr>
        <w:t>). The model also estimated the interference rate associated with juvenile densities as -0.</w:t>
      </w:r>
      <w:r w:rsidR="0051148C">
        <w:rPr>
          <w:rFonts w:ascii="Times New Roman" w:hAnsi="Times New Roman" w:cs="Times New Roman"/>
          <w:sz w:val="24"/>
          <w:szCs w:val="24"/>
        </w:rPr>
        <w:t>4</w:t>
      </w:r>
      <w:r w:rsidR="002D10FB">
        <w:rPr>
          <w:rFonts w:ascii="Times New Roman" w:hAnsi="Times New Roman" w:cs="Times New Roman"/>
          <w:sz w:val="24"/>
          <w:szCs w:val="24"/>
        </w:rPr>
        <w:t xml:space="preserve"> (90% CrI -2.</w:t>
      </w:r>
      <w:r w:rsidR="0051148C">
        <w:rPr>
          <w:rFonts w:ascii="Times New Roman" w:hAnsi="Times New Roman" w:cs="Times New Roman"/>
          <w:sz w:val="24"/>
          <w:szCs w:val="24"/>
        </w:rPr>
        <w:t>1</w:t>
      </w:r>
      <w:r w:rsidR="002D10FB">
        <w:rPr>
          <w:rFonts w:ascii="Times New Roman" w:hAnsi="Times New Roman" w:cs="Times New Roman"/>
          <w:sz w:val="24"/>
          <w:szCs w:val="24"/>
        </w:rPr>
        <w:t>-1.</w:t>
      </w:r>
      <w:r w:rsidR="0051148C">
        <w:rPr>
          <w:rFonts w:ascii="Times New Roman" w:hAnsi="Times New Roman" w:cs="Times New Roman"/>
          <w:sz w:val="24"/>
          <w:szCs w:val="24"/>
        </w:rPr>
        <w:t>3</w:t>
      </w:r>
      <w:r w:rsidR="002D10FB">
        <w:rPr>
          <w:rFonts w:ascii="Times New Roman" w:hAnsi="Times New Roman" w:cs="Times New Roman"/>
          <w:sz w:val="24"/>
          <w:szCs w:val="24"/>
        </w:rPr>
        <w:t>), the interference rate associated with females as 1.</w:t>
      </w:r>
      <w:r w:rsidR="0051148C">
        <w:rPr>
          <w:rFonts w:ascii="Times New Roman" w:hAnsi="Times New Roman" w:cs="Times New Roman"/>
          <w:sz w:val="24"/>
          <w:szCs w:val="24"/>
        </w:rPr>
        <w:t>1</w:t>
      </w:r>
      <w:r w:rsidR="002D10FB">
        <w:rPr>
          <w:rFonts w:ascii="Times New Roman" w:hAnsi="Times New Roman" w:cs="Times New Roman"/>
          <w:sz w:val="24"/>
          <w:szCs w:val="24"/>
        </w:rPr>
        <w:t xml:space="preserve"> (90% CrI 0</w:t>
      </w:r>
      <w:r w:rsidR="0051148C">
        <w:rPr>
          <w:rFonts w:ascii="Times New Roman" w:hAnsi="Times New Roman" w:cs="Times New Roman"/>
          <w:sz w:val="24"/>
          <w:szCs w:val="24"/>
        </w:rPr>
        <w:t>.04</w:t>
      </w:r>
      <w:r w:rsidR="002D10FB">
        <w:rPr>
          <w:rFonts w:ascii="Times New Roman" w:hAnsi="Times New Roman" w:cs="Times New Roman"/>
          <w:sz w:val="24"/>
          <w:szCs w:val="24"/>
        </w:rPr>
        <w:t>-2.3), the interference rate associated with males as 0.</w:t>
      </w:r>
      <w:r w:rsidR="0051148C">
        <w:rPr>
          <w:rFonts w:ascii="Times New Roman" w:hAnsi="Times New Roman" w:cs="Times New Roman"/>
          <w:sz w:val="24"/>
          <w:szCs w:val="24"/>
        </w:rPr>
        <w:t>1</w:t>
      </w:r>
      <w:r w:rsidR="002D10FB">
        <w:rPr>
          <w:rFonts w:ascii="Times New Roman" w:hAnsi="Times New Roman" w:cs="Times New Roman"/>
          <w:sz w:val="24"/>
          <w:szCs w:val="24"/>
        </w:rPr>
        <w:t xml:space="preserve"> (90% CrI -1.</w:t>
      </w:r>
      <w:r w:rsidR="0051148C">
        <w:rPr>
          <w:rFonts w:ascii="Times New Roman" w:hAnsi="Times New Roman" w:cs="Times New Roman"/>
          <w:sz w:val="24"/>
          <w:szCs w:val="24"/>
        </w:rPr>
        <w:t>2</w:t>
      </w:r>
      <w:r w:rsidR="002D10FB">
        <w:rPr>
          <w:rFonts w:ascii="Times New Roman" w:hAnsi="Times New Roman" w:cs="Times New Roman"/>
          <w:sz w:val="24"/>
          <w:szCs w:val="24"/>
        </w:rPr>
        <w:t>-1.</w:t>
      </w:r>
      <w:r w:rsidR="0051148C">
        <w:rPr>
          <w:rFonts w:ascii="Times New Roman" w:hAnsi="Times New Roman" w:cs="Times New Roman"/>
          <w:sz w:val="24"/>
          <w:szCs w:val="24"/>
        </w:rPr>
        <w:t>6</w:t>
      </w:r>
      <w:r w:rsidR="002D10FB">
        <w:rPr>
          <w:rFonts w:ascii="Times New Roman" w:hAnsi="Times New Roman" w:cs="Times New Roman"/>
          <w:sz w:val="24"/>
          <w:szCs w:val="24"/>
        </w:rPr>
        <w:t>)</w:t>
      </w:r>
      <w:r w:rsidR="008247D6">
        <w:rPr>
          <w:rFonts w:ascii="Times New Roman" w:hAnsi="Times New Roman" w:cs="Times New Roman"/>
          <w:sz w:val="24"/>
          <w:szCs w:val="24"/>
        </w:rPr>
        <w:t xml:space="preserve">, and the parameter controlling the convexity of the relationship between feeding rates and midge densities as -0.05 (90% CrI -0.4-0.4). </w:t>
      </w:r>
    </w:p>
    <w:p w14:paraId="7D990FF1" w14:textId="0E91822F" w:rsidR="000E7B4F" w:rsidRDefault="000E7B4F" w:rsidP="00634641">
      <w:pPr>
        <w:rPr>
          <w:rFonts w:ascii="Times New Roman" w:hAnsi="Times New Roman" w:cs="Times New Roman"/>
          <w:sz w:val="24"/>
          <w:szCs w:val="24"/>
        </w:rPr>
      </w:pPr>
    </w:p>
    <w:p w14:paraId="7F9FB109" w14:textId="369DA41B" w:rsidR="000E7B4F" w:rsidRDefault="000E7B4F" w:rsidP="006346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8AD6FD5" wp14:editId="745F4147">
            <wp:extent cx="5943600" cy="294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0E61A" w14:textId="4B6D95C7" w:rsidR="006E1C20" w:rsidRDefault="006E1C20" w:rsidP="0063464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192842F" w14:textId="11604D9B" w:rsidR="000E7B4F" w:rsidRPr="00000072" w:rsidRDefault="000E7B4F" w:rsidP="000E7B4F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2756F9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 Parametric functional response predictions of juvenile feeding rate relationships with midge densities </w:t>
      </w:r>
      <w:r w:rsidR="002D10FB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A), juvenile densities (C), female densities (D) and male densities (E), and space clearance rate relationships with temperature (B) for the Type IV, Beddington-DeAngelis functional response. Lines in A-E represent predicted median feeding rates with all other variables at their across-survey means. The lighter and darker ribbons represent 90% and 50% credible intervals, respectively. Panel F shows model-predicted and observed feeding rates. The diagonal line is the 1:1 line and the horizontal lines are the model 90% prediction intervals of the observed feeding rates.</w:t>
      </w:r>
    </w:p>
    <w:p w14:paraId="41B763D0" w14:textId="77777777" w:rsidR="006E1C20" w:rsidRDefault="006E1C20" w:rsidP="00634641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61B3A3FA" w14:textId="77777777" w:rsidR="00B22705" w:rsidRDefault="00B22705" w:rsidP="00634641">
      <w:pPr>
        <w:rPr>
          <w:rFonts w:ascii="Times New Roman" w:hAnsi="Times New Roman" w:cs="Times New Roman"/>
          <w:sz w:val="24"/>
          <w:szCs w:val="24"/>
        </w:rPr>
      </w:pPr>
    </w:p>
    <w:p w14:paraId="2528D1D8" w14:textId="3C8C1F95" w:rsidR="00634641" w:rsidRPr="00634641" w:rsidRDefault="00444A60" w:rsidP="003E70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478310" w14:textId="143D87C2" w:rsidR="005D049F" w:rsidRPr="005D049F" w:rsidRDefault="005D049F" w:rsidP="005D049F">
      <w:pPr>
        <w:rPr>
          <w:rFonts w:ascii="Times New Roman" w:hAnsi="Times New Roman" w:cs="Times New Roman"/>
          <w:sz w:val="24"/>
          <w:szCs w:val="24"/>
        </w:rPr>
      </w:pPr>
    </w:p>
    <w:sectPr w:rsidR="005D049F" w:rsidRPr="005D0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52066" w14:textId="77777777" w:rsidR="00D56543" w:rsidRDefault="00D56543" w:rsidP="009E4791">
      <w:pPr>
        <w:spacing w:after="0" w:line="240" w:lineRule="auto"/>
      </w:pPr>
      <w:r>
        <w:separator/>
      </w:r>
    </w:p>
  </w:endnote>
  <w:endnote w:type="continuationSeparator" w:id="0">
    <w:p w14:paraId="77A55CA8" w14:textId="77777777" w:rsidR="00D56543" w:rsidRDefault="00D56543" w:rsidP="009E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9616" w14:textId="77777777" w:rsidR="00D56543" w:rsidRDefault="00D56543" w:rsidP="009E4791">
      <w:pPr>
        <w:spacing w:after="0" w:line="240" w:lineRule="auto"/>
      </w:pPr>
      <w:r>
        <w:separator/>
      </w:r>
    </w:p>
  </w:footnote>
  <w:footnote w:type="continuationSeparator" w:id="0">
    <w:p w14:paraId="066C80EE" w14:textId="77777777" w:rsidR="00D56543" w:rsidRDefault="00D56543" w:rsidP="009E4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9F"/>
    <w:rsid w:val="000E7B4F"/>
    <w:rsid w:val="002756F9"/>
    <w:rsid w:val="002D10FB"/>
    <w:rsid w:val="003A28B9"/>
    <w:rsid w:val="003E70DC"/>
    <w:rsid w:val="00444A60"/>
    <w:rsid w:val="00487942"/>
    <w:rsid w:val="004A0CE2"/>
    <w:rsid w:val="0051148C"/>
    <w:rsid w:val="00521D15"/>
    <w:rsid w:val="00530ECC"/>
    <w:rsid w:val="00581972"/>
    <w:rsid w:val="005D049F"/>
    <w:rsid w:val="00634641"/>
    <w:rsid w:val="006E1C20"/>
    <w:rsid w:val="006F50CB"/>
    <w:rsid w:val="007E6942"/>
    <w:rsid w:val="008247D6"/>
    <w:rsid w:val="009E4791"/>
    <w:rsid w:val="00B14AD1"/>
    <w:rsid w:val="00B22705"/>
    <w:rsid w:val="00B30060"/>
    <w:rsid w:val="00D56543"/>
    <w:rsid w:val="00DB3C54"/>
    <w:rsid w:val="00F0167E"/>
    <w:rsid w:val="00F1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0D7C6"/>
  <w15:chartTrackingRefBased/>
  <w15:docId w15:val="{10217228-E986-44F0-8301-9235472E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3C5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E4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791"/>
  </w:style>
  <w:style w:type="paragraph" w:styleId="Footer">
    <w:name w:val="footer"/>
    <w:basedOn w:val="Normal"/>
    <w:link w:val="FooterChar"/>
    <w:uiPriority w:val="99"/>
    <w:unhideWhenUsed/>
    <w:rsid w:val="009E4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6D910-7CA1-4F13-9296-686FB0066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3087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Coblentz</dc:creator>
  <cp:keywords/>
  <dc:description/>
  <cp:lastModifiedBy>Kyle Coblentz</cp:lastModifiedBy>
  <cp:revision>11</cp:revision>
  <dcterms:created xsi:type="dcterms:W3CDTF">2022-01-19T08:01:00Z</dcterms:created>
  <dcterms:modified xsi:type="dcterms:W3CDTF">2022-03-21T19:03:00Z</dcterms:modified>
</cp:coreProperties>
</file>