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04B" w:rsidRPr="00435D35" w:rsidRDefault="007A504B" w:rsidP="007A504B">
      <w:pPr>
        <w:spacing w:line="360" w:lineRule="auto"/>
        <w:jc w:val="both"/>
        <w:rPr>
          <w:lang w:val="en-US"/>
        </w:rPr>
      </w:pPr>
      <w:bookmarkStart w:id="0" w:name="_GoBack"/>
      <w:bookmarkEnd w:id="0"/>
      <w:r w:rsidRPr="00435D35">
        <w:rPr>
          <w:lang w:val="en-US"/>
        </w:rPr>
        <w:t xml:space="preserve">Figure S1. Conservation of genes involved in bile acid metabolism between </w:t>
      </w:r>
      <w:proofErr w:type="spellStart"/>
      <w:r w:rsidRPr="00435D35">
        <w:rPr>
          <w:i/>
          <w:lang w:val="en-US"/>
        </w:rPr>
        <w:t>Extibacter</w:t>
      </w:r>
      <w:proofErr w:type="spellEnd"/>
      <w:r w:rsidRPr="00435D35">
        <w:rPr>
          <w:i/>
          <w:lang w:val="en-US"/>
        </w:rPr>
        <w:t xml:space="preserve"> </w:t>
      </w:r>
      <w:proofErr w:type="spellStart"/>
      <w:r w:rsidRPr="00435D35">
        <w:rPr>
          <w:i/>
          <w:lang w:val="en-US"/>
        </w:rPr>
        <w:t>muris</w:t>
      </w:r>
      <w:proofErr w:type="spellEnd"/>
      <w:r w:rsidRPr="00435D35">
        <w:rPr>
          <w:lang w:val="en-US"/>
        </w:rPr>
        <w:t xml:space="preserve"> DSM 28560</w:t>
      </w:r>
      <w:r w:rsidRPr="00435D35">
        <w:rPr>
          <w:vertAlign w:val="superscript"/>
          <w:lang w:val="en-US"/>
        </w:rPr>
        <w:t>T</w:t>
      </w:r>
      <w:r w:rsidRPr="00435D35">
        <w:rPr>
          <w:lang w:val="en-US"/>
        </w:rPr>
        <w:t xml:space="preserve"> and </w:t>
      </w:r>
      <w:r w:rsidRPr="00435D35">
        <w:rPr>
          <w:i/>
          <w:lang w:val="en-US"/>
        </w:rPr>
        <w:t xml:space="preserve">Clostridium </w:t>
      </w:r>
      <w:proofErr w:type="spellStart"/>
      <w:r w:rsidRPr="00435D35">
        <w:rPr>
          <w:i/>
          <w:lang w:val="en-US"/>
        </w:rPr>
        <w:t>hylemonae</w:t>
      </w:r>
      <w:proofErr w:type="spellEnd"/>
      <w:r w:rsidRPr="00435D35">
        <w:rPr>
          <w:lang w:val="en-US"/>
        </w:rPr>
        <w:t xml:space="preserve"> DSM 15053</w:t>
      </w:r>
      <w:r w:rsidRPr="00435D35">
        <w:rPr>
          <w:vertAlign w:val="superscript"/>
          <w:lang w:val="en-US"/>
        </w:rPr>
        <w:t>T</w:t>
      </w:r>
      <w:r w:rsidRPr="00435D35">
        <w:rPr>
          <w:lang w:val="en-US"/>
        </w:rPr>
        <w:t xml:space="preserve">. Genes in </w:t>
      </w:r>
      <w:r w:rsidRPr="00435D35">
        <w:rPr>
          <w:i/>
          <w:lang w:val="en-US"/>
        </w:rPr>
        <w:t xml:space="preserve">C. </w:t>
      </w:r>
      <w:proofErr w:type="spellStart"/>
      <w:r w:rsidRPr="00435D35">
        <w:rPr>
          <w:i/>
          <w:lang w:val="en-US"/>
        </w:rPr>
        <w:t>hylemonae</w:t>
      </w:r>
      <w:proofErr w:type="spellEnd"/>
      <w:r w:rsidRPr="00435D35">
        <w:rPr>
          <w:lang w:val="en-US"/>
        </w:rPr>
        <w:t xml:space="preserve"> previously shown to be involved in bile acid metabolism were </w:t>
      </w:r>
      <w:proofErr w:type="spellStart"/>
      <w:r w:rsidRPr="00435D35">
        <w:rPr>
          <w:lang w:val="en-US"/>
        </w:rPr>
        <w:t>pBLAST</w:t>
      </w:r>
      <w:proofErr w:type="spellEnd"/>
      <w:r w:rsidRPr="00435D35">
        <w:rPr>
          <w:lang w:val="en-US"/>
        </w:rPr>
        <w:t xml:space="preserve"> searched against the genome of </w:t>
      </w:r>
      <w:r w:rsidRPr="00435D35">
        <w:rPr>
          <w:i/>
          <w:lang w:val="en-US"/>
        </w:rPr>
        <w:t xml:space="preserve">E. </w:t>
      </w:r>
      <w:proofErr w:type="spellStart"/>
      <w:r w:rsidRPr="00435D35">
        <w:rPr>
          <w:i/>
          <w:lang w:val="en-US"/>
        </w:rPr>
        <w:t>muris</w:t>
      </w:r>
      <w:proofErr w:type="spellEnd"/>
      <w:r w:rsidRPr="00435D35">
        <w:rPr>
          <w:lang w:val="en-US"/>
        </w:rPr>
        <w:t xml:space="preserve"> (NZ_SMMX00000000.1). Their organization and surrounding genomic context were compared. Percent amino acid sequence identity are provided for bile acid-metabolizing genes. Bile acid inducible (</w:t>
      </w:r>
      <w:proofErr w:type="spellStart"/>
      <w:r w:rsidRPr="00435D35">
        <w:rPr>
          <w:i/>
          <w:iCs/>
          <w:lang w:val="en-US"/>
        </w:rPr>
        <w:t>bai</w:t>
      </w:r>
      <w:proofErr w:type="spellEnd"/>
      <w:r w:rsidRPr="00435D35">
        <w:rPr>
          <w:lang w:val="en-US"/>
        </w:rPr>
        <w:t xml:space="preserve">) promoters (P) are indicated and a </w:t>
      </w:r>
      <w:proofErr w:type="spellStart"/>
      <w:r w:rsidRPr="00435D35">
        <w:rPr>
          <w:lang w:val="en-US"/>
        </w:rPr>
        <w:t>biologos</w:t>
      </w:r>
      <w:proofErr w:type="spellEnd"/>
      <w:r w:rsidRPr="00435D35">
        <w:rPr>
          <w:lang w:val="en-US"/>
        </w:rPr>
        <w:t xml:space="preserve"> plot from </w:t>
      </w:r>
      <w:proofErr w:type="spellStart"/>
      <w:r w:rsidRPr="00435D35">
        <w:rPr>
          <w:lang w:val="en-US"/>
        </w:rPr>
        <w:t>Clustal</w:t>
      </w:r>
      <w:proofErr w:type="spellEnd"/>
      <w:r w:rsidRPr="00435D35">
        <w:rPr>
          <w:lang w:val="en-US"/>
        </w:rPr>
        <w:t xml:space="preserve"> Omega alignment of 54 </w:t>
      </w:r>
      <w:proofErr w:type="spellStart"/>
      <w:r w:rsidRPr="00435D35">
        <w:rPr>
          <w:lang w:val="en-US"/>
        </w:rPr>
        <w:t>bp</w:t>
      </w:r>
      <w:proofErr w:type="spellEnd"/>
      <w:r w:rsidRPr="00435D35">
        <w:rPr>
          <w:lang w:val="en-US"/>
        </w:rPr>
        <w:t xml:space="preserve"> upstream of the first codon is displayed.  </w:t>
      </w:r>
    </w:p>
    <w:p w:rsidR="007A504B" w:rsidRPr="00435D35" w:rsidRDefault="007A504B" w:rsidP="007A504B">
      <w:pPr>
        <w:spacing w:line="360" w:lineRule="auto"/>
        <w:jc w:val="both"/>
        <w:rPr>
          <w:lang w:val="en-US"/>
        </w:rPr>
      </w:pPr>
    </w:p>
    <w:p w:rsidR="007A504B" w:rsidRPr="00435D35" w:rsidRDefault="007A504B" w:rsidP="007A504B">
      <w:pPr>
        <w:spacing w:line="360" w:lineRule="auto"/>
        <w:jc w:val="both"/>
        <w:rPr>
          <w:lang w:val="en-US"/>
        </w:rPr>
      </w:pPr>
      <w:r w:rsidRPr="00435D35">
        <w:rPr>
          <w:lang w:val="en-US"/>
        </w:rPr>
        <w:t xml:space="preserve">Figure S2. Systemic blood, liver and body parameters. a) Histological evaluation of HE-stained liver sections rated for fat accumulation and total score comprising necrosis, </w:t>
      </w:r>
      <w:proofErr w:type="spellStart"/>
      <w:r w:rsidRPr="00435D35">
        <w:rPr>
          <w:lang w:val="en-US"/>
        </w:rPr>
        <w:t>hepatocytic</w:t>
      </w:r>
      <w:proofErr w:type="spellEnd"/>
      <w:r w:rsidRPr="00435D35">
        <w:rPr>
          <w:lang w:val="en-US"/>
        </w:rPr>
        <w:t xml:space="preserve"> vacuolization, fat accumulation, degenerative changes, congestion and cellular infiltration. Samples scored 1 were considered as healthy, whereas samples scored ≥2 were combined and their respective prevalence was plotted. Examples of stained tissue sections are shown for the lowest (1) and highest (3) possible scores. b) </w:t>
      </w:r>
      <w:r w:rsidRPr="00435D35">
        <w:rPr>
          <w:bCs/>
          <w:lang w:val="en-US"/>
        </w:rPr>
        <w:t xml:space="preserve">Diet-specific profiles revealed by principal component analysis (PCA); all host parameters were considered for analysis. </w:t>
      </w:r>
      <w:r w:rsidRPr="00435D35">
        <w:rPr>
          <w:lang w:val="en-US"/>
        </w:rPr>
        <w:t>c) Liver-to-body weight ratio, leptin and cholesterol levels in plasma. d) All other host parameters. Significances between dietary and colonization groups are marked with superscript letters (</w:t>
      </w:r>
      <w:proofErr w:type="gramStart"/>
      <w:r w:rsidRPr="00435D35">
        <w:rPr>
          <w:lang w:val="en-US"/>
        </w:rPr>
        <w:t>a and</w:t>
      </w:r>
      <w:proofErr w:type="gramEnd"/>
      <w:r w:rsidRPr="00435D35">
        <w:rPr>
          <w:lang w:val="en-US"/>
        </w:rPr>
        <w:t xml:space="preserve"> b, respectively). Data are shown as mean ± SD (n = 9-13). *p &lt; 0.05, **p &lt; 0.01, ***p &lt; 0.001 (two-way ANOVA followed </w:t>
      </w:r>
      <w:r w:rsidRPr="00435D35">
        <w:rPr>
          <w:bCs/>
          <w:lang w:val="en-US"/>
        </w:rPr>
        <w:t>by Tukey test</w:t>
      </w:r>
      <w:r w:rsidRPr="00435D35">
        <w:rPr>
          <w:lang w:val="en-US"/>
        </w:rPr>
        <w:t xml:space="preserve">). Abbreviations: AST, aspartate aminotransferase; BW, body weight; GIP, gastric inhibitory polypeptide; LDH, lactate dehydrogenase; MCP-1, monocyte chemoattractant protein-1; PP, paralytic peptide; WAT, white adipose tissue mass. </w:t>
      </w:r>
    </w:p>
    <w:p w:rsidR="007A504B" w:rsidRPr="00435D35" w:rsidRDefault="007A504B" w:rsidP="007A504B">
      <w:pPr>
        <w:spacing w:line="360" w:lineRule="auto"/>
        <w:jc w:val="both"/>
        <w:rPr>
          <w:lang w:val="en-US"/>
        </w:rPr>
      </w:pPr>
    </w:p>
    <w:p w:rsidR="007A504B" w:rsidRPr="00435D35" w:rsidRDefault="007A504B" w:rsidP="007A504B">
      <w:pPr>
        <w:spacing w:line="360" w:lineRule="auto"/>
        <w:jc w:val="both"/>
        <w:rPr>
          <w:lang w:val="en-US"/>
        </w:rPr>
      </w:pPr>
      <w:r w:rsidRPr="00435D35">
        <w:rPr>
          <w:lang w:val="en-US"/>
        </w:rPr>
        <w:t xml:space="preserve">Supplemental material 1. Detailed lipid composition in the diets. </w:t>
      </w:r>
    </w:p>
    <w:p w:rsidR="007A504B" w:rsidRPr="00435D35" w:rsidRDefault="007A504B" w:rsidP="007A504B">
      <w:pPr>
        <w:spacing w:line="360" w:lineRule="auto"/>
        <w:jc w:val="both"/>
        <w:rPr>
          <w:lang w:val="en-US"/>
        </w:rPr>
      </w:pPr>
    </w:p>
    <w:p w:rsidR="007A504B" w:rsidRPr="00435D35" w:rsidRDefault="007A504B" w:rsidP="007A504B">
      <w:pPr>
        <w:spacing w:line="360" w:lineRule="auto"/>
        <w:jc w:val="both"/>
        <w:rPr>
          <w:lang w:val="en-US"/>
        </w:rPr>
      </w:pPr>
      <w:r w:rsidRPr="00435D35">
        <w:rPr>
          <w:lang w:val="en-US"/>
        </w:rPr>
        <w:t xml:space="preserve">Supplemental material 2. Significantly affected pathways and top-20 altered proteins during HF diet feeding, as analyzed via proteomics. </w:t>
      </w:r>
    </w:p>
    <w:p w:rsidR="007A504B" w:rsidRPr="00435D35" w:rsidRDefault="007A504B" w:rsidP="007A504B">
      <w:pPr>
        <w:spacing w:line="360" w:lineRule="auto"/>
        <w:jc w:val="both"/>
        <w:rPr>
          <w:lang w:val="en-US"/>
        </w:rPr>
      </w:pPr>
    </w:p>
    <w:p w:rsidR="007A504B" w:rsidRPr="00F91385" w:rsidRDefault="007A504B" w:rsidP="007A504B">
      <w:pPr>
        <w:spacing w:line="360" w:lineRule="auto"/>
        <w:jc w:val="both"/>
        <w:rPr>
          <w:lang w:val="en-US"/>
        </w:rPr>
      </w:pPr>
      <w:r w:rsidRPr="00435D35">
        <w:rPr>
          <w:lang w:val="en-US"/>
        </w:rPr>
        <w:t xml:space="preserve">Supplemental material 3. Individual concentrations of fatty acids in liver samples. </w:t>
      </w:r>
      <w:r w:rsidRPr="00435D35">
        <w:rPr>
          <w:lang w:val="en-US"/>
        </w:rPr>
        <w:fldChar w:fldCharType="begin"/>
      </w:r>
      <w:r w:rsidRPr="00435D35">
        <w:rPr>
          <w:lang w:val="en-US"/>
        </w:rPr>
        <w:instrText xml:space="preserve"> ADDIN </w:instrText>
      </w:r>
      <w:r w:rsidRPr="00435D35">
        <w:rPr>
          <w:lang w:val="en-US"/>
        </w:rPr>
        <w:fldChar w:fldCharType="end"/>
      </w:r>
      <w:r w:rsidRPr="00435D35">
        <w:rPr>
          <w:lang w:val="en-US"/>
        </w:rPr>
        <w:fldChar w:fldCharType="begin"/>
      </w:r>
      <w:r w:rsidRPr="00435D35">
        <w:rPr>
          <w:lang w:val="en-US"/>
        </w:rPr>
        <w:instrText xml:space="preserve"> ADDIN </w:instrText>
      </w:r>
      <w:r w:rsidRPr="00435D35">
        <w:rPr>
          <w:lang w:val="en-US"/>
        </w:rPr>
        <w:fldChar w:fldCharType="end"/>
      </w:r>
    </w:p>
    <w:p w:rsidR="00500DDE" w:rsidRDefault="00500DDE"/>
    <w:sectPr w:rsidR="00500DDE" w:rsidSect="0004537E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A51F0C">
      <w:r>
        <w:separator/>
      </w:r>
    </w:p>
  </w:endnote>
  <w:endnote w:type="continuationSeparator" w:id="0">
    <w:p w:rsidR="00000000" w:rsidRDefault="00A51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4"/>
      <w:gridCol w:w="3024"/>
      <w:gridCol w:w="3024"/>
    </w:tblGrid>
    <w:tr w:rsidR="00615485" w:rsidTr="53EA11C6">
      <w:tc>
        <w:tcPr>
          <w:tcW w:w="3024" w:type="dxa"/>
        </w:tcPr>
        <w:p w:rsidR="00615485" w:rsidRDefault="00A51F0C" w:rsidP="53EA11C6">
          <w:pPr>
            <w:pStyle w:val="Header"/>
            <w:ind w:left="-115"/>
          </w:pPr>
        </w:p>
      </w:tc>
      <w:tc>
        <w:tcPr>
          <w:tcW w:w="3024" w:type="dxa"/>
        </w:tcPr>
        <w:p w:rsidR="00615485" w:rsidRDefault="00A51F0C" w:rsidP="53EA11C6">
          <w:pPr>
            <w:pStyle w:val="Header"/>
            <w:jc w:val="center"/>
          </w:pPr>
        </w:p>
      </w:tc>
      <w:tc>
        <w:tcPr>
          <w:tcW w:w="3024" w:type="dxa"/>
        </w:tcPr>
        <w:p w:rsidR="00615485" w:rsidRDefault="00A51F0C" w:rsidP="53EA11C6">
          <w:pPr>
            <w:pStyle w:val="Header"/>
            <w:ind w:right="-115"/>
            <w:jc w:val="right"/>
          </w:pPr>
        </w:p>
      </w:tc>
    </w:tr>
  </w:tbl>
  <w:p w:rsidR="00615485" w:rsidRDefault="00A51F0C" w:rsidP="53EA11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A51F0C">
      <w:r>
        <w:separator/>
      </w:r>
    </w:p>
  </w:footnote>
  <w:footnote w:type="continuationSeparator" w:id="0">
    <w:p w:rsidR="00000000" w:rsidRDefault="00A51F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4"/>
      <w:gridCol w:w="3024"/>
      <w:gridCol w:w="3024"/>
    </w:tblGrid>
    <w:tr w:rsidR="00615485" w:rsidTr="53EA11C6">
      <w:tc>
        <w:tcPr>
          <w:tcW w:w="3024" w:type="dxa"/>
        </w:tcPr>
        <w:p w:rsidR="00615485" w:rsidRDefault="00A51F0C" w:rsidP="53EA11C6">
          <w:pPr>
            <w:pStyle w:val="Header"/>
            <w:ind w:left="-115"/>
          </w:pPr>
        </w:p>
      </w:tc>
      <w:tc>
        <w:tcPr>
          <w:tcW w:w="3024" w:type="dxa"/>
        </w:tcPr>
        <w:p w:rsidR="00615485" w:rsidRDefault="00A51F0C" w:rsidP="53EA11C6">
          <w:pPr>
            <w:pStyle w:val="Header"/>
            <w:jc w:val="center"/>
          </w:pPr>
        </w:p>
      </w:tc>
      <w:tc>
        <w:tcPr>
          <w:tcW w:w="3024" w:type="dxa"/>
        </w:tcPr>
        <w:p w:rsidR="00615485" w:rsidRDefault="00A51F0C" w:rsidP="53EA11C6">
          <w:pPr>
            <w:pStyle w:val="Header"/>
            <w:ind w:right="-115"/>
            <w:jc w:val="right"/>
          </w:pPr>
        </w:p>
      </w:tc>
    </w:tr>
  </w:tbl>
  <w:p w:rsidR="00615485" w:rsidRDefault="00A51F0C" w:rsidP="53EA11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04B"/>
    <w:rsid w:val="00500DDE"/>
    <w:rsid w:val="00705181"/>
    <w:rsid w:val="007A504B"/>
    <w:rsid w:val="007F15CF"/>
    <w:rsid w:val="009A58AC"/>
    <w:rsid w:val="00A51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1B2CF6-3487-4057-8D84-0BB747A87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50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rsid w:val="007A504B"/>
  </w:style>
  <w:style w:type="paragraph" w:styleId="Header">
    <w:name w:val="header"/>
    <w:basedOn w:val="Normal"/>
    <w:link w:val="HeaderChar"/>
    <w:uiPriority w:val="99"/>
    <w:unhideWhenUsed/>
    <w:rsid w:val="007A504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IN" w:eastAsia="en-US"/>
    </w:rPr>
  </w:style>
  <w:style w:type="character" w:customStyle="1" w:styleId="HeaderChar1">
    <w:name w:val="Header Char1"/>
    <w:basedOn w:val="DefaultParagraphFont"/>
    <w:uiPriority w:val="99"/>
    <w:semiHidden/>
    <w:rsid w:val="007A504B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7A504B"/>
  </w:style>
  <w:style w:type="paragraph" w:styleId="Footer">
    <w:name w:val="footer"/>
    <w:basedOn w:val="Normal"/>
    <w:link w:val="FooterChar"/>
    <w:uiPriority w:val="99"/>
    <w:unhideWhenUsed/>
    <w:rsid w:val="007A504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IN" w:eastAsia="en-US"/>
    </w:rPr>
  </w:style>
  <w:style w:type="character" w:customStyle="1" w:styleId="FooterChar1">
    <w:name w:val="Footer Char1"/>
    <w:basedOn w:val="DefaultParagraphFont"/>
    <w:uiPriority w:val="99"/>
    <w:semiHidden/>
    <w:rsid w:val="007A504B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LineNumber">
    <w:name w:val="line number"/>
    <w:basedOn w:val="DefaultParagraphFont"/>
    <w:uiPriority w:val="99"/>
    <w:semiHidden/>
    <w:unhideWhenUsed/>
    <w:rsid w:val="007A50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Usha Thangaraj, Integra-PDY, IN</dc:creator>
  <cp:keywords/>
  <dc:description/>
  <cp:lastModifiedBy>Margaret Mering</cp:lastModifiedBy>
  <cp:revision>2</cp:revision>
  <dcterms:created xsi:type="dcterms:W3CDTF">2021-01-05T15:06:00Z</dcterms:created>
  <dcterms:modified xsi:type="dcterms:W3CDTF">2021-01-05T15:06:00Z</dcterms:modified>
</cp:coreProperties>
</file>